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5D" w:rsidRDefault="004C5C5D" w:rsidP="004C5C5D">
      <w:pPr>
        <w:pStyle w:val="Heading1"/>
      </w:pPr>
      <w:r w:rsidRPr="00542059">
        <w:t>I</w:t>
      </w:r>
      <w:r>
        <w:t>ntergovernmental Platform for Biodiversity and Ecosystem Services</w:t>
      </w:r>
    </w:p>
    <w:p w:rsidR="001968AD" w:rsidRDefault="004C5C5D" w:rsidP="001968AD">
      <w:pPr>
        <w:rPr>
          <w:b/>
          <w:sz w:val="20"/>
          <w:szCs w:val="20"/>
        </w:rPr>
      </w:pPr>
      <w:r>
        <w:rPr>
          <w:rFonts w:cs="Arial"/>
          <w:b/>
          <w:sz w:val="20"/>
          <w:szCs w:val="20"/>
        </w:rPr>
        <w:t xml:space="preserve">Second Order Drafts and </w:t>
      </w:r>
      <w:r w:rsidR="001968AD">
        <w:rPr>
          <w:rFonts w:cs="Arial"/>
          <w:b/>
          <w:sz w:val="20"/>
          <w:szCs w:val="20"/>
        </w:rPr>
        <w:t>Draft Summary for Policy Makers for IPBES assessment on Land Degradation; and Regional Assessments on Biodiversity and Ecosystem Services</w:t>
      </w:r>
    </w:p>
    <w:p w:rsidR="001968AD" w:rsidRDefault="001968AD" w:rsidP="001968AD">
      <w:pPr>
        <w:rPr>
          <w:b/>
          <w:sz w:val="20"/>
          <w:szCs w:val="20"/>
        </w:rPr>
      </w:pPr>
    </w:p>
    <w:p w:rsidR="001968AD" w:rsidRDefault="001968AD" w:rsidP="004C5C5D">
      <w:pPr>
        <w:pStyle w:val="Heading2"/>
        <w:rPr>
          <w:lang w:val="en"/>
        </w:rPr>
      </w:pPr>
      <w:r>
        <w:t>Review</w:t>
      </w:r>
      <w:r>
        <w:rPr>
          <w:lang w:val="en"/>
        </w:rPr>
        <w:t xml:space="preserve"> Process</w:t>
      </w:r>
    </w:p>
    <w:p w:rsidR="001968AD" w:rsidRDefault="001968AD" w:rsidP="001968AD">
      <w:pPr>
        <w:rPr>
          <w:rFonts w:cs="Arial"/>
          <w:sz w:val="20"/>
          <w:szCs w:val="20"/>
          <w:lang w:val="en"/>
        </w:rPr>
      </w:pPr>
      <w:r>
        <w:rPr>
          <w:rFonts w:cs="Arial"/>
          <w:sz w:val="20"/>
          <w:szCs w:val="20"/>
          <w:lang w:val="en"/>
        </w:rPr>
        <w:t xml:space="preserve">IPBES assessments are drafted by globally selected experts from multiple disciplines.  First drafts of the Land Degradation Assessment and the Regional Assessments were made available for expert review last year; governments and experts are now being invited to comment on the second iteration – including for the first time the Summaries for Policy Makers. </w:t>
      </w:r>
    </w:p>
    <w:p w:rsidR="001968AD" w:rsidRDefault="001968AD" w:rsidP="001968AD">
      <w:pPr>
        <w:rPr>
          <w:rFonts w:cs="Arial"/>
          <w:sz w:val="20"/>
          <w:szCs w:val="20"/>
          <w:lang w:val="en"/>
        </w:rPr>
      </w:pPr>
    </w:p>
    <w:p w:rsidR="00E5775A" w:rsidRDefault="001968AD" w:rsidP="001968AD">
      <w:pPr>
        <w:rPr>
          <w:rFonts w:cs="Arial"/>
          <w:sz w:val="20"/>
          <w:szCs w:val="20"/>
          <w:lang w:val="en"/>
        </w:rPr>
      </w:pPr>
      <w:r>
        <w:rPr>
          <w:rFonts w:cs="Arial"/>
          <w:sz w:val="20"/>
          <w:szCs w:val="20"/>
          <w:lang w:val="en"/>
        </w:rPr>
        <w:t xml:space="preserve">Comments will be </w:t>
      </w:r>
      <w:proofErr w:type="gramStart"/>
      <w:r>
        <w:rPr>
          <w:rFonts w:cs="Arial"/>
          <w:sz w:val="20"/>
          <w:szCs w:val="20"/>
          <w:lang w:val="en"/>
        </w:rPr>
        <w:t>taken into account</w:t>
      </w:r>
      <w:proofErr w:type="gramEnd"/>
      <w:r>
        <w:rPr>
          <w:rFonts w:cs="Arial"/>
          <w:sz w:val="20"/>
          <w:szCs w:val="20"/>
          <w:lang w:val="en"/>
        </w:rPr>
        <w:t xml:space="preserve"> as the authors prepare the final draft on which governments will negotiate at Plenary in March 2018, to adopt the Summary for Policy Makers, and accept the underlying scientific assessment.  </w:t>
      </w:r>
    </w:p>
    <w:p w:rsidR="001968AD" w:rsidRDefault="001968AD" w:rsidP="001968AD">
      <w:pPr>
        <w:rPr>
          <w:rFonts w:cs="Arial"/>
          <w:sz w:val="20"/>
          <w:szCs w:val="20"/>
        </w:rPr>
      </w:pPr>
    </w:p>
    <w:p w:rsidR="001968AD" w:rsidRDefault="001968AD" w:rsidP="004C5C5D">
      <w:pPr>
        <w:pStyle w:val="Heading2"/>
      </w:pPr>
      <w:r>
        <w:t>The Scope of the Assessments</w:t>
      </w:r>
    </w:p>
    <w:p w:rsidR="001968AD" w:rsidRDefault="001968AD" w:rsidP="001968AD">
      <w:pPr>
        <w:rPr>
          <w:rFonts w:cs="Arial"/>
          <w:sz w:val="20"/>
          <w:szCs w:val="20"/>
        </w:rPr>
      </w:pPr>
    </w:p>
    <w:p w:rsidR="001968AD" w:rsidRDefault="001968AD" w:rsidP="001968AD">
      <w:pPr>
        <w:rPr>
          <w:rFonts w:cs="Arial"/>
          <w:sz w:val="20"/>
          <w:szCs w:val="20"/>
        </w:rPr>
      </w:pPr>
      <w:r>
        <w:rPr>
          <w:rFonts w:cs="Arial"/>
          <w:sz w:val="20"/>
          <w:szCs w:val="20"/>
        </w:rPr>
        <w:t>Below are the aims of the Land Degradation and Regional Assessments, followed</w:t>
      </w:r>
      <w:r w:rsidR="004C5C5D">
        <w:rPr>
          <w:rFonts w:cs="Arial"/>
          <w:sz w:val="20"/>
          <w:szCs w:val="20"/>
        </w:rPr>
        <w:t xml:space="preserve"> by a Chapter outline of each. </w:t>
      </w:r>
      <w:r>
        <w:rPr>
          <w:rFonts w:cs="Arial"/>
          <w:sz w:val="20"/>
          <w:szCs w:val="20"/>
        </w:rPr>
        <w:t>For the Chapter outline of the Regional Assessments, this includes specific elements relevant to the Europe and Central Asia assessment.</w:t>
      </w:r>
      <w:r w:rsidR="00E5775A">
        <w:rPr>
          <w:rFonts w:cs="Arial"/>
          <w:sz w:val="20"/>
          <w:szCs w:val="20"/>
        </w:rPr>
        <w:t xml:space="preserve"> These have been provided to help you to plan your contribution to the review process. </w:t>
      </w:r>
    </w:p>
    <w:p w:rsidR="00E5775A" w:rsidRDefault="00E5775A" w:rsidP="001968AD">
      <w:pPr>
        <w:rPr>
          <w:rFonts w:cs="Arial"/>
          <w:sz w:val="20"/>
          <w:szCs w:val="20"/>
        </w:rPr>
      </w:pPr>
    </w:p>
    <w:p w:rsidR="001968AD" w:rsidRPr="00E5775A" w:rsidRDefault="00E5775A" w:rsidP="001968AD">
      <w:pPr>
        <w:rPr>
          <w:rFonts w:cs="Arial"/>
          <w:sz w:val="20"/>
          <w:szCs w:val="20"/>
        </w:rPr>
      </w:pPr>
      <w:r>
        <w:rPr>
          <w:rFonts w:cs="Arial"/>
          <w:sz w:val="20"/>
          <w:szCs w:val="20"/>
        </w:rPr>
        <w:t xml:space="preserve">Please contact the UK IPBES stakeholder hub at </w:t>
      </w:r>
      <w:hyperlink r:id="rId5" w:history="1">
        <w:r w:rsidRPr="004D75B0">
          <w:rPr>
            <w:rStyle w:val="Hyperlink"/>
            <w:rFonts w:cs="Arial"/>
            <w:sz w:val="20"/>
            <w:szCs w:val="20"/>
          </w:rPr>
          <w:t>IPBES@jncc.gov.uk</w:t>
        </w:r>
      </w:hyperlink>
      <w:r>
        <w:rPr>
          <w:rFonts w:cs="Arial"/>
          <w:sz w:val="20"/>
          <w:szCs w:val="20"/>
        </w:rPr>
        <w:t xml:space="preserve"> for more information.</w:t>
      </w:r>
      <w:bookmarkStart w:id="0" w:name="_GoBack"/>
      <w:bookmarkEnd w:id="0"/>
    </w:p>
    <w:p w:rsidR="001968AD" w:rsidRDefault="001968AD" w:rsidP="001968AD">
      <w:pPr>
        <w:rPr>
          <w:rFonts w:cs="Arial"/>
          <w:sz w:val="20"/>
          <w:szCs w:val="20"/>
          <w:lang w:val="en"/>
        </w:rPr>
      </w:pPr>
    </w:p>
    <w:p w:rsidR="001968AD" w:rsidRDefault="001968AD" w:rsidP="004C5C5D">
      <w:pPr>
        <w:pStyle w:val="Heading2"/>
        <w:rPr>
          <w:lang w:val="en"/>
        </w:rPr>
      </w:pPr>
      <w:r>
        <w:rPr>
          <w:lang w:val="en"/>
        </w:rPr>
        <w:t>Land Degradation and Restoration Assessment</w:t>
      </w:r>
    </w:p>
    <w:p w:rsidR="001968AD" w:rsidRDefault="001968AD" w:rsidP="001968AD">
      <w:pPr>
        <w:rPr>
          <w:rFonts w:cs="Arial"/>
          <w:b/>
          <w:sz w:val="20"/>
          <w:szCs w:val="20"/>
        </w:rPr>
      </w:pPr>
    </w:p>
    <w:p w:rsidR="001968AD" w:rsidRDefault="001968AD" w:rsidP="001968AD">
      <w:pPr>
        <w:rPr>
          <w:rFonts w:cs="Arial"/>
          <w:sz w:val="20"/>
          <w:szCs w:val="20"/>
          <w:lang w:val="en"/>
        </w:rPr>
      </w:pPr>
      <w:r>
        <w:rPr>
          <w:rFonts w:cs="Arial"/>
          <w:b/>
          <w:sz w:val="20"/>
          <w:szCs w:val="20"/>
        </w:rPr>
        <w:t xml:space="preserve">Aim: </w:t>
      </w:r>
      <w:r>
        <w:rPr>
          <w:rFonts w:cs="Arial"/>
          <w:sz w:val="20"/>
          <w:szCs w:val="20"/>
          <w:lang w:val="en"/>
        </w:rPr>
        <w:t>To cover the global status of and trends in land degradation, by region and land cover type; the effect of degradation on biodiversity values, ecosystem services and human well-being; and the state of knowledge, by region and land cover type, of ecosystem restoration extent and options. The assessment would enhance the knowledge base for policies for addressing land degradation, desertification and the restoration of degraded land.</w:t>
      </w:r>
    </w:p>
    <w:p w:rsidR="001968AD" w:rsidRDefault="001968AD" w:rsidP="001968AD">
      <w:pPr>
        <w:rPr>
          <w:rFonts w:cs="Arial"/>
          <w:b/>
          <w:sz w:val="20"/>
          <w:szCs w:val="20"/>
        </w:rPr>
      </w:pPr>
    </w:p>
    <w:p w:rsidR="001968AD" w:rsidRDefault="001968AD" w:rsidP="001968AD">
      <w:pPr>
        <w:rPr>
          <w:rFonts w:cs="Arial"/>
          <w:b/>
          <w:sz w:val="20"/>
          <w:szCs w:val="20"/>
        </w:rPr>
      </w:pPr>
      <w:r>
        <w:rPr>
          <w:rFonts w:cs="Arial"/>
          <w:b/>
          <w:sz w:val="20"/>
          <w:szCs w:val="20"/>
        </w:rPr>
        <w:t>Chapter Outline:</w:t>
      </w:r>
    </w:p>
    <w:p w:rsidR="001968AD" w:rsidRDefault="001968AD" w:rsidP="001968AD">
      <w:pPr>
        <w:rPr>
          <w:rFonts w:cs="Arial"/>
          <w:sz w:val="20"/>
          <w:szCs w:val="20"/>
          <w:lang w:val="e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1968AD" w:rsidTr="00F55D23">
        <w:tc>
          <w:tcPr>
            <w:tcW w:w="2405" w:type="dxa"/>
            <w:tcBorders>
              <w:top w:val="single" w:sz="4" w:space="0" w:color="auto"/>
              <w:left w:val="single" w:sz="4" w:space="0" w:color="auto"/>
              <w:bottom w:val="single" w:sz="4" w:space="0" w:color="auto"/>
              <w:right w:val="single" w:sz="4" w:space="0" w:color="auto"/>
            </w:tcBorders>
            <w:hideMark/>
          </w:tcPr>
          <w:p w:rsidR="001968AD" w:rsidRDefault="001968AD">
            <w:pPr>
              <w:rPr>
                <w:rFonts w:cs="Arial"/>
                <w:b/>
                <w:sz w:val="20"/>
                <w:szCs w:val="20"/>
              </w:rPr>
            </w:pPr>
            <w:r>
              <w:rPr>
                <w:rFonts w:cs="Arial"/>
                <w:b/>
                <w:sz w:val="20"/>
                <w:szCs w:val="20"/>
              </w:rPr>
              <w:t>Chapter</w:t>
            </w:r>
          </w:p>
        </w:tc>
        <w:tc>
          <w:tcPr>
            <w:tcW w:w="6946" w:type="dxa"/>
            <w:tcBorders>
              <w:top w:val="single" w:sz="4" w:space="0" w:color="auto"/>
              <w:left w:val="single" w:sz="4" w:space="0" w:color="auto"/>
              <w:bottom w:val="single" w:sz="4" w:space="0" w:color="auto"/>
              <w:right w:val="single" w:sz="4" w:space="0" w:color="auto"/>
            </w:tcBorders>
            <w:hideMark/>
          </w:tcPr>
          <w:p w:rsidR="001968AD" w:rsidRDefault="001968AD">
            <w:pPr>
              <w:rPr>
                <w:rFonts w:cs="Arial"/>
                <w:b/>
                <w:sz w:val="20"/>
                <w:szCs w:val="20"/>
              </w:rPr>
            </w:pPr>
            <w:r>
              <w:rPr>
                <w:rFonts w:cs="Arial"/>
                <w:b/>
                <w:sz w:val="20"/>
                <w:szCs w:val="20"/>
              </w:rPr>
              <w:t>Outline</w:t>
            </w:r>
          </w:p>
        </w:tc>
      </w:tr>
      <w:tr w:rsidR="001968AD" w:rsidTr="00F55D23">
        <w:tc>
          <w:tcPr>
            <w:tcW w:w="2405" w:type="dxa"/>
            <w:tcBorders>
              <w:top w:val="single" w:sz="4" w:space="0" w:color="auto"/>
              <w:left w:val="single" w:sz="4" w:space="0" w:color="auto"/>
              <w:bottom w:val="single" w:sz="4" w:space="0" w:color="auto"/>
              <w:right w:val="single" w:sz="4" w:space="0" w:color="auto"/>
            </w:tcBorders>
            <w:hideMark/>
          </w:tcPr>
          <w:p w:rsidR="001968AD" w:rsidRDefault="001968AD">
            <w:pPr>
              <w:autoSpaceDE w:val="0"/>
              <w:autoSpaceDN w:val="0"/>
              <w:adjustRightInd w:val="0"/>
              <w:rPr>
                <w:rFonts w:cs="Arial"/>
                <w:bCs/>
                <w:sz w:val="20"/>
                <w:szCs w:val="20"/>
                <w:lang w:eastAsia="en-GB"/>
              </w:rPr>
            </w:pPr>
            <w:r>
              <w:rPr>
                <w:rFonts w:cs="Arial"/>
                <w:bCs/>
                <w:sz w:val="20"/>
                <w:szCs w:val="20"/>
                <w:lang w:eastAsia="en-GB"/>
              </w:rPr>
              <w:t>Summary for Policy Makers</w:t>
            </w:r>
          </w:p>
        </w:tc>
        <w:tc>
          <w:tcPr>
            <w:tcW w:w="6946" w:type="dxa"/>
            <w:tcBorders>
              <w:top w:val="single" w:sz="4" w:space="0" w:color="auto"/>
              <w:left w:val="single" w:sz="4" w:space="0" w:color="auto"/>
              <w:bottom w:val="single" w:sz="4" w:space="0" w:color="auto"/>
              <w:right w:val="single" w:sz="4" w:space="0" w:color="auto"/>
            </w:tcBorders>
            <w:hideMark/>
          </w:tcPr>
          <w:p w:rsidR="001968AD" w:rsidRDefault="001968AD" w:rsidP="003A3FEE">
            <w:pPr>
              <w:numPr>
                <w:ilvl w:val="0"/>
                <w:numId w:val="1"/>
              </w:numPr>
              <w:autoSpaceDE w:val="0"/>
              <w:autoSpaceDN w:val="0"/>
              <w:adjustRightInd w:val="0"/>
              <w:rPr>
                <w:rFonts w:cs="Arial"/>
                <w:sz w:val="20"/>
                <w:szCs w:val="20"/>
                <w:lang w:eastAsia="en-GB"/>
              </w:rPr>
            </w:pPr>
            <w:r>
              <w:rPr>
                <w:sz w:val="20"/>
                <w:szCs w:val="20"/>
              </w:rPr>
              <w:t>A policy-relevant but not policy-prescriptive summary of the assessment</w:t>
            </w:r>
          </w:p>
          <w:p w:rsidR="001968AD" w:rsidRDefault="001968AD" w:rsidP="003A3FEE">
            <w:pPr>
              <w:numPr>
                <w:ilvl w:val="0"/>
                <w:numId w:val="1"/>
              </w:numPr>
              <w:autoSpaceDE w:val="0"/>
              <w:autoSpaceDN w:val="0"/>
              <w:adjustRightInd w:val="0"/>
              <w:rPr>
                <w:rFonts w:cs="Arial"/>
                <w:i/>
                <w:sz w:val="20"/>
                <w:szCs w:val="20"/>
                <w:lang w:eastAsia="en-GB"/>
              </w:rPr>
            </w:pPr>
            <w:r>
              <w:rPr>
                <w:i/>
                <w:sz w:val="20"/>
                <w:szCs w:val="20"/>
              </w:rPr>
              <w:t>Note, Approval of a summary for policymakers signifies that it is consistent with the factual material contained in the full scientific, technical and socioeconomic assessment accepted by the Plenary – some cross reference between the SPM and underlying assessment will be needed.</w:t>
            </w: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sz w:val="20"/>
                <w:szCs w:val="20"/>
              </w:rPr>
            </w:pPr>
            <w:r>
              <w:rPr>
                <w:rFonts w:cs="Arial"/>
                <w:bCs/>
                <w:sz w:val="20"/>
                <w:szCs w:val="20"/>
                <w:lang w:eastAsia="en-GB"/>
              </w:rPr>
              <w:t xml:space="preserve">Chapter 1. </w:t>
            </w:r>
            <w:r>
              <w:rPr>
                <w:rFonts w:cs="Arial"/>
                <w:b/>
                <w:bCs/>
                <w:sz w:val="20"/>
                <w:szCs w:val="20"/>
                <w:lang w:eastAsia="en-GB"/>
              </w:rPr>
              <w:t>Benefits to people</w:t>
            </w:r>
            <w:r>
              <w:rPr>
                <w:rFonts w:cs="Arial"/>
                <w:bCs/>
                <w:sz w:val="20"/>
                <w:szCs w:val="20"/>
                <w:lang w:eastAsia="en-GB"/>
              </w:rPr>
              <w:t xml:space="preserve"> from avoidance of land degradation and restoration of degraded land. </w:t>
            </w:r>
          </w:p>
          <w:p w:rsidR="001968AD" w:rsidRDefault="001968AD">
            <w:pPr>
              <w:rPr>
                <w:rFonts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1"/>
              </w:numPr>
              <w:autoSpaceDE w:val="0"/>
              <w:autoSpaceDN w:val="0"/>
              <w:adjustRightInd w:val="0"/>
              <w:rPr>
                <w:rFonts w:cs="Arial"/>
                <w:sz w:val="20"/>
                <w:szCs w:val="20"/>
                <w:lang w:eastAsia="en-GB"/>
              </w:rPr>
            </w:pPr>
            <w:r>
              <w:rPr>
                <w:rFonts w:cs="Arial"/>
                <w:sz w:val="20"/>
                <w:szCs w:val="20"/>
                <w:lang w:eastAsia="en-GB"/>
              </w:rPr>
              <w:t>Benefits to human well-being and quality of life via halting, reduction and mitigation of degradation processes &amp; restoration.</w:t>
            </w:r>
          </w:p>
          <w:p w:rsidR="001968AD" w:rsidRDefault="001968AD" w:rsidP="003A3FEE">
            <w:pPr>
              <w:numPr>
                <w:ilvl w:val="0"/>
                <w:numId w:val="1"/>
              </w:numPr>
              <w:autoSpaceDE w:val="0"/>
              <w:autoSpaceDN w:val="0"/>
              <w:adjustRightInd w:val="0"/>
              <w:rPr>
                <w:rFonts w:cs="Arial"/>
                <w:sz w:val="20"/>
                <w:szCs w:val="20"/>
              </w:rPr>
            </w:pPr>
            <w:r>
              <w:rPr>
                <w:rFonts w:cs="Arial"/>
                <w:sz w:val="20"/>
                <w:szCs w:val="20"/>
                <w:lang w:eastAsia="en-GB"/>
              </w:rPr>
              <w:t>Examples of success stories of how land conservation and restoration measures have helped to deliver improvements in livelihoods, reduce poverty and strengthen long-term sustainability.</w:t>
            </w:r>
          </w:p>
          <w:p w:rsidR="001968AD" w:rsidRDefault="001968AD">
            <w:pPr>
              <w:autoSpaceDE w:val="0"/>
              <w:autoSpaceDN w:val="0"/>
              <w:adjustRightInd w:val="0"/>
              <w:ind w:left="360"/>
              <w:rPr>
                <w:rFonts w:cs="Arial"/>
                <w:sz w:val="20"/>
                <w:szCs w:val="20"/>
              </w:rPr>
            </w:pP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bCs/>
                <w:sz w:val="20"/>
                <w:szCs w:val="20"/>
                <w:lang w:eastAsia="en-GB"/>
              </w:rPr>
            </w:pPr>
            <w:r>
              <w:rPr>
                <w:rFonts w:cs="Arial"/>
                <w:bCs/>
                <w:sz w:val="20"/>
                <w:szCs w:val="20"/>
                <w:lang w:eastAsia="en-GB"/>
              </w:rPr>
              <w:t xml:space="preserve">Chapter 2. </w:t>
            </w:r>
            <w:r>
              <w:rPr>
                <w:rFonts w:cs="Arial"/>
                <w:b/>
                <w:bCs/>
                <w:sz w:val="20"/>
                <w:szCs w:val="20"/>
                <w:lang w:eastAsia="en-GB"/>
              </w:rPr>
              <w:t>Concepts and perceptions</w:t>
            </w:r>
            <w:r>
              <w:rPr>
                <w:rFonts w:cs="Arial"/>
                <w:bCs/>
                <w:sz w:val="20"/>
                <w:szCs w:val="20"/>
                <w:lang w:eastAsia="en-GB"/>
              </w:rPr>
              <w:t xml:space="preserve"> of land degradation and restoration. </w:t>
            </w:r>
          </w:p>
          <w:p w:rsidR="001968AD" w:rsidRDefault="001968AD">
            <w:pPr>
              <w:autoSpaceDE w:val="0"/>
              <w:autoSpaceDN w:val="0"/>
              <w:adjustRightInd w:val="0"/>
              <w:rPr>
                <w:rFonts w:cs="Arial"/>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2"/>
              </w:numPr>
              <w:autoSpaceDE w:val="0"/>
              <w:autoSpaceDN w:val="0"/>
              <w:adjustRightInd w:val="0"/>
              <w:rPr>
                <w:rFonts w:cs="Arial"/>
                <w:sz w:val="20"/>
                <w:szCs w:val="20"/>
                <w:lang w:eastAsia="en-GB"/>
              </w:rPr>
            </w:pPr>
            <w:r>
              <w:rPr>
                <w:rFonts w:cs="Arial"/>
                <w:sz w:val="20"/>
                <w:szCs w:val="20"/>
                <w:lang w:eastAsia="en-GB"/>
              </w:rPr>
              <w:t xml:space="preserve">Assessing and comparing differing concepts and perceptions of land degradation and restoration. </w:t>
            </w:r>
          </w:p>
          <w:p w:rsidR="001968AD" w:rsidRDefault="001968AD" w:rsidP="003A3FEE">
            <w:pPr>
              <w:numPr>
                <w:ilvl w:val="0"/>
                <w:numId w:val="2"/>
              </w:numPr>
              <w:autoSpaceDE w:val="0"/>
              <w:autoSpaceDN w:val="0"/>
              <w:adjustRightInd w:val="0"/>
              <w:rPr>
                <w:rFonts w:cs="Arial"/>
                <w:sz w:val="20"/>
                <w:szCs w:val="20"/>
                <w:lang w:eastAsia="en-GB"/>
              </w:rPr>
            </w:pPr>
            <w:r>
              <w:rPr>
                <w:rFonts w:cs="Arial"/>
                <w:sz w:val="20"/>
                <w:szCs w:val="20"/>
                <w:lang w:eastAsia="en-GB"/>
              </w:rPr>
              <w:t>Review concepts and approaches, the status of ecosystems, as well as concepts and approaches used to describe different responses, including rehabilitation and restoration.</w:t>
            </w:r>
          </w:p>
          <w:p w:rsidR="001968AD" w:rsidRDefault="001968AD">
            <w:pPr>
              <w:autoSpaceDE w:val="0"/>
              <w:autoSpaceDN w:val="0"/>
              <w:adjustRightInd w:val="0"/>
              <w:ind w:left="360"/>
              <w:rPr>
                <w:rFonts w:cs="Arial"/>
                <w:sz w:val="20"/>
                <w:szCs w:val="20"/>
                <w:lang w:eastAsia="en-GB"/>
              </w:rPr>
            </w:pP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bCs/>
                <w:sz w:val="20"/>
                <w:szCs w:val="20"/>
                <w:lang w:eastAsia="en-GB"/>
              </w:rPr>
            </w:pPr>
            <w:r>
              <w:rPr>
                <w:rFonts w:cs="Arial"/>
                <w:bCs/>
                <w:sz w:val="20"/>
                <w:szCs w:val="20"/>
                <w:lang w:eastAsia="en-GB"/>
              </w:rPr>
              <w:t xml:space="preserve">Chapter 3. Direct and indirect </w:t>
            </w:r>
            <w:r>
              <w:rPr>
                <w:rFonts w:cs="Arial"/>
                <w:b/>
                <w:bCs/>
                <w:sz w:val="20"/>
                <w:szCs w:val="20"/>
                <w:lang w:eastAsia="en-GB"/>
              </w:rPr>
              <w:t>drivers</w:t>
            </w:r>
            <w:r>
              <w:rPr>
                <w:rFonts w:cs="Arial"/>
                <w:bCs/>
                <w:sz w:val="20"/>
                <w:szCs w:val="20"/>
                <w:lang w:eastAsia="en-GB"/>
              </w:rPr>
              <w:t xml:space="preserve"> of land degradation and restoration. </w:t>
            </w:r>
          </w:p>
          <w:p w:rsidR="001968AD" w:rsidRDefault="001968AD">
            <w:pPr>
              <w:autoSpaceDE w:val="0"/>
              <w:autoSpaceDN w:val="0"/>
              <w:adjustRightInd w:val="0"/>
              <w:rPr>
                <w:rFonts w:cs="Arial"/>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3"/>
              </w:numPr>
              <w:autoSpaceDE w:val="0"/>
              <w:autoSpaceDN w:val="0"/>
              <w:adjustRightInd w:val="0"/>
              <w:rPr>
                <w:rFonts w:cs="Arial"/>
                <w:sz w:val="20"/>
                <w:szCs w:val="20"/>
                <w:lang w:eastAsia="en-GB"/>
              </w:rPr>
            </w:pPr>
            <w:r>
              <w:rPr>
                <w:rFonts w:cs="Arial"/>
                <w:sz w:val="20"/>
                <w:szCs w:val="20"/>
                <w:lang w:eastAsia="en-GB"/>
              </w:rPr>
              <w:lastRenderedPageBreak/>
              <w:t xml:space="preserve">How land degradation and restoration are the result of multiple drivers and their interactions. </w:t>
            </w:r>
          </w:p>
          <w:p w:rsidR="001968AD" w:rsidRDefault="001968AD" w:rsidP="003A3FEE">
            <w:pPr>
              <w:numPr>
                <w:ilvl w:val="0"/>
                <w:numId w:val="3"/>
              </w:numPr>
              <w:autoSpaceDE w:val="0"/>
              <w:autoSpaceDN w:val="0"/>
              <w:adjustRightInd w:val="0"/>
              <w:rPr>
                <w:rFonts w:cs="Arial"/>
                <w:sz w:val="20"/>
                <w:szCs w:val="20"/>
                <w:lang w:eastAsia="en-GB"/>
              </w:rPr>
            </w:pPr>
            <w:r>
              <w:rPr>
                <w:rFonts w:cs="Arial"/>
                <w:sz w:val="20"/>
                <w:szCs w:val="20"/>
                <w:lang w:eastAsia="en-GB"/>
              </w:rPr>
              <w:lastRenderedPageBreak/>
              <w:t xml:space="preserve">Extent and severity of different drivers and how they vary within and between different biomes, regions and land-use systems around the world. </w:t>
            </w:r>
          </w:p>
          <w:p w:rsidR="001968AD" w:rsidRDefault="001968AD">
            <w:pPr>
              <w:autoSpaceDE w:val="0"/>
              <w:autoSpaceDN w:val="0"/>
              <w:adjustRightInd w:val="0"/>
              <w:ind w:left="360"/>
              <w:rPr>
                <w:rFonts w:cs="Arial"/>
                <w:sz w:val="20"/>
                <w:szCs w:val="20"/>
                <w:lang w:eastAsia="en-GB"/>
              </w:rPr>
            </w:pP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bCs/>
                <w:sz w:val="20"/>
                <w:szCs w:val="20"/>
                <w:lang w:eastAsia="en-GB"/>
              </w:rPr>
            </w:pPr>
            <w:r>
              <w:rPr>
                <w:rFonts w:cs="Arial"/>
                <w:bCs/>
                <w:sz w:val="20"/>
                <w:szCs w:val="20"/>
                <w:lang w:eastAsia="en-GB"/>
              </w:rPr>
              <w:lastRenderedPageBreak/>
              <w:t xml:space="preserve">Chapter 4. </w:t>
            </w:r>
            <w:r>
              <w:rPr>
                <w:rFonts w:cs="Arial"/>
                <w:b/>
                <w:bCs/>
                <w:sz w:val="20"/>
                <w:szCs w:val="20"/>
                <w:lang w:eastAsia="en-GB"/>
              </w:rPr>
              <w:t>Status and trends</w:t>
            </w:r>
            <w:r>
              <w:rPr>
                <w:rFonts w:cs="Arial"/>
                <w:bCs/>
                <w:sz w:val="20"/>
                <w:szCs w:val="20"/>
                <w:lang w:eastAsia="en-GB"/>
              </w:rPr>
              <w:t xml:space="preserve"> of land degradation and restoration and associated changes in biodiversity and ecosystem functions. </w:t>
            </w:r>
          </w:p>
          <w:p w:rsidR="001968AD" w:rsidRDefault="001968AD">
            <w:pPr>
              <w:autoSpaceDE w:val="0"/>
              <w:autoSpaceDN w:val="0"/>
              <w:adjustRightInd w:val="0"/>
              <w:rPr>
                <w:rFonts w:cs="Arial"/>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4"/>
              </w:numPr>
              <w:autoSpaceDE w:val="0"/>
              <w:autoSpaceDN w:val="0"/>
              <w:adjustRightInd w:val="0"/>
              <w:rPr>
                <w:rFonts w:cs="Arial"/>
                <w:sz w:val="20"/>
                <w:szCs w:val="20"/>
                <w:lang w:eastAsia="en-GB"/>
              </w:rPr>
            </w:pPr>
            <w:r>
              <w:rPr>
                <w:rFonts w:cs="Arial"/>
                <w:sz w:val="20"/>
                <w:szCs w:val="20"/>
                <w:lang w:eastAsia="en-GB"/>
              </w:rPr>
              <w:t>Status and trends of land degradation and restoration in terms of changes in biodiversity and ecosystem functioning.</w:t>
            </w:r>
          </w:p>
          <w:p w:rsidR="001968AD" w:rsidRDefault="001968AD" w:rsidP="003A3FEE">
            <w:pPr>
              <w:numPr>
                <w:ilvl w:val="0"/>
                <w:numId w:val="4"/>
              </w:numPr>
              <w:autoSpaceDE w:val="0"/>
              <w:autoSpaceDN w:val="0"/>
              <w:adjustRightInd w:val="0"/>
              <w:rPr>
                <w:rFonts w:cs="Arial"/>
                <w:sz w:val="20"/>
                <w:szCs w:val="20"/>
                <w:lang w:eastAsia="en-GB"/>
              </w:rPr>
            </w:pPr>
            <w:r>
              <w:rPr>
                <w:rFonts w:cs="Arial"/>
                <w:sz w:val="20"/>
                <w:szCs w:val="20"/>
                <w:lang w:eastAsia="en-GB"/>
              </w:rPr>
              <w:t xml:space="preserve">Assess levels of land degradation and restoration </w:t>
            </w:r>
            <w:proofErr w:type="gramStart"/>
            <w:r>
              <w:rPr>
                <w:rFonts w:cs="Arial"/>
                <w:sz w:val="20"/>
                <w:szCs w:val="20"/>
                <w:lang w:eastAsia="en-GB"/>
              </w:rPr>
              <w:t>with regard to</w:t>
            </w:r>
            <w:proofErr w:type="gramEnd"/>
            <w:r>
              <w:rPr>
                <w:rFonts w:cs="Arial"/>
                <w:sz w:val="20"/>
                <w:szCs w:val="20"/>
                <w:lang w:eastAsia="en-GB"/>
              </w:rPr>
              <w:t xml:space="preserve"> the type, extent and severity of changes </w:t>
            </w:r>
          </w:p>
          <w:p w:rsidR="001968AD" w:rsidRDefault="001968AD" w:rsidP="003A3FEE">
            <w:pPr>
              <w:numPr>
                <w:ilvl w:val="0"/>
                <w:numId w:val="4"/>
              </w:numPr>
              <w:autoSpaceDE w:val="0"/>
              <w:autoSpaceDN w:val="0"/>
              <w:adjustRightInd w:val="0"/>
              <w:rPr>
                <w:rFonts w:cs="Arial"/>
                <w:sz w:val="20"/>
                <w:szCs w:val="20"/>
                <w:lang w:eastAsia="en-GB"/>
              </w:rPr>
            </w:pPr>
            <w:proofErr w:type="gramStart"/>
            <w:r>
              <w:rPr>
                <w:rFonts w:cs="Arial"/>
                <w:sz w:val="20"/>
                <w:szCs w:val="20"/>
                <w:lang w:eastAsia="en-GB"/>
              </w:rPr>
              <w:t>Particular attention</w:t>
            </w:r>
            <w:proofErr w:type="gramEnd"/>
            <w:r>
              <w:rPr>
                <w:rFonts w:cs="Arial"/>
                <w:sz w:val="20"/>
                <w:szCs w:val="20"/>
                <w:lang w:eastAsia="en-GB"/>
              </w:rPr>
              <w:t xml:space="preserve"> will be given to understanding system resilience.</w:t>
            </w:r>
          </w:p>
          <w:p w:rsidR="001968AD" w:rsidRDefault="001968AD">
            <w:pPr>
              <w:autoSpaceDE w:val="0"/>
              <w:autoSpaceDN w:val="0"/>
              <w:adjustRightInd w:val="0"/>
              <w:ind w:left="360"/>
              <w:rPr>
                <w:rFonts w:cs="Arial"/>
                <w:sz w:val="20"/>
                <w:szCs w:val="20"/>
                <w:lang w:eastAsia="en-GB"/>
              </w:rPr>
            </w:pP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bCs/>
                <w:sz w:val="20"/>
                <w:szCs w:val="20"/>
                <w:lang w:eastAsia="en-GB"/>
              </w:rPr>
            </w:pPr>
            <w:r>
              <w:rPr>
                <w:rFonts w:cs="Arial"/>
                <w:bCs/>
                <w:sz w:val="20"/>
                <w:szCs w:val="20"/>
                <w:lang w:eastAsia="en-GB"/>
              </w:rPr>
              <w:t xml:space="preserve">Chapter 5. Land degradation and restoration associated with </w:t>
            </w:r>
            <w:r>
              <w:rPr>
                <w:rFonts w:cs="Arial"/>
                <w:b/>
                <w:bCs/>
                <w:sz w:val="20"/>
                <w:szCs w:val="20"/>
                <w:lang w:eastAsia="en-GB"/>
              </w:rPr>
              <w:t>changes in ecosystem services</w:t>
            </w:r>
            <w:r>
              <w:rPr>
                <w:rFonts w:cs="Arial"/>
                <w:bCs/>
                <w:sz w:val="20"/>
                <w:szCs w:val="20"/>
                <w:lang w:eastAsia="en-GB"/>
              </w:rPr>
              <w:t xml:space="preserve"> and functions and human well-being and good quality of life</w:t>
            </w:r>
            <w:r>
              <w:rPr>
                <w:rFonts w:cs="Arial"/>
                <w:sz w:val="20"/>
                <w:szCs w:val="20"/>
                <w:lang w:eastAsia="en-GB"/>
              </w:rPr>
              <w:t xml:space="preserve">. </w:t>
            </w:r>
          </w:p>
          <w:p w:rsidR="001968AD" w:rsidRDefault="001968AD">
            <w:pPr>
              <w:autoSpaceDE w:val="0"/>
              <w:autoSpaceDN w:val="0"/>
              <w:adjustRightInd w:val="0"/>
              <w:rPr>
                <w:rFonts w:cs="Arial"/>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5"/>
              </w:numPr>
              <w:autoSpaceDE w:val="0"/>
              <w:autoSpaceDN w:val="0"/>
              <w:adjustRightInd w:val="0"/>
              <w:rPr>
                <w:rFonts w:cs="Arial"/>
                <w:sz w:val="20"/>
                <w:szCs w:val="20"/>
                <w:lang w:eastAsia="en-GB"/>
              </w:rPr>
            </w:pPr>
            <w:r>
              <w:rPr>
                <w:rFonts w:cs="Arial"/>
                <w:sz w:val="20"/>
                <w:szCs w:val="20"/>
                <w:lang w:eastAsia="en-GB"/>
              </w:rPr>
              <w:t xml:space="preserve">Impact of land degradation and restoration on changes to the delivery of nature’s benefits to people and the resultant impact on quality of life. </w:t>
            </w:r>
          </w:p>
          <w:p w:rsidR="001968AD" w:rsidRDefault="001968AD" w:rsidP="003A3FEE">
            <w:pPr>
              <w:numPr>
                <w:ilvl w:val="0"/>
                <w:numId w:val="5"/>
              </w:numPr>
              <w:autoSpaceDE w:val="0"/>
              <w:autoSpaceDN w:val="0"/>
              <w:adjustRightInd w:val="0"/>
              <w:rPr>
                <w:rFonts w:cs="Arial"/>
                <w:sz w:val="20"/>
                <w:szCs w:val="20"/>
                <w:lang w:eastAsia="en-GB"/>
              </w:rPr>
            </w:pPr>
            <w:r>
              <w:rPr>
                <w:rFonts w:cs="Arial"/>
                <w:sz w:val="20"/>
                <w:szCs w:val="20"/>
                <w:lang w:eastAsia="en-GB"/>
              </w:rPr>
              <w:t>Diverse costs of land degradation and benefits of restoration for people.</w:t>
            </w:r>
          </w:p>
          <w:p w:rsidR="001968AD" w:rsidRDefault="001968AD" w:rsidP="003A3FEE">
            <w:pPr>
              <w:numPr>
                <w:ilvl w:val="0"/>
                <w:numId w:val="5"/>
              </w:numPr>
              <w:autoSpaceDE w:val="0"/>
              <w:autoSpaceDN w:val="0"/>
              <w:adjustRightInd w:val="0"/>
              <w:rPr>
                <w:rFonts w:cs="Arial"/>
                <w:sz w:val="20"/>
                <w:szCs w:val="20"/>
                <w:lang w:eastAsia="en-GB"/>
              </w:rPr>
            </w:pPr>
            <w:r>
              <w:rPr>
                <w:rFonts w:cs="Arial"/>
                <w:sz w:val="20"/>
                <w:szCs w:val="20"/>
                <w:lang w:eastAsia="en-GB"/>
              </w:rPr>
              <w:t>Type, extent and severity of changes in different social-ecological systems in different land cover and land management systems, including their implications for social and ecological stability and resilience and cultural integrity.</w:t>
            </w:r>
          </w:p>
          <w:p w:rsidR="001968AD" w:rsidRDefault="001968AD">
            <w:pPr>
              <w:autoSpaceDE w:val="0"/>
              <w:autoSpaceDN w:val="0"/>
              <w:adjustRightInd w:val="0"/>
              <w:ind w:left="360"/>
              <w:rPr>
                <w:rFonts w:cs="Arial"/>
                <w:sz w:val="20"/>
                <w:szCs w:val="20"/>
                <w:lang w:eastAsia="en-GB"/>
              </w:rPr>
            </w:pPr>
          </w:p>
        </w:tc>
      </w:tr>
      <w:tr w:rsidR="001968AD" w:rsidTr="00F55D23">
        <w:tc>
          <w:tcPr>
            <w:tcW w:w="2405" w:type="dxa"/>
            <w:tcBorders>
              <w:top w:val="single" w:sz="4" w:space="0" w:color="auto"/>
              <w:left w:val="single" w:sz="4" w:space="0" w:color="auto"/>
              <w:bottom w:val="single" w:sz="4" w:space="0" w:color="auto"/>
              <w:right w:val="single" w:sz="4" w:space="0" w:color="auto"/>
            </w:tcBorders>
            <w:hideMark/>
          </w:tcPr>
          <w:p w:rsidR="001968AD" w:rsidRDefault="001968AD">
            <w:pPr>
              <w:autoSpaceDE w:val="0"/>
              <w:autoSpaceDN w:val="0"/>
              <w:adjustRightInd w:val="0"/>
              <w:rPr>
                <w:rFonts w:cs="Arial"/>
                <w:sz w:val="20"/>
                <w:szCs w:val="20"/>
                <w:lang w:eastAsia="en-GB"/>
              </w:rPr>
            </w:pPr>
            <w:r>
              <w:rPr>
                <w:rFonts w:cs="Arial"/>
                <w:bCs/>
                <w:sz w:val="20"/>
                <w:szCs w:val="20"/>
                <w:lang w:eastAsia="en-GB"/>
              </w:rPr>
              <w:t xml:space="preserve">Chapter 6. </w:t>
            </w:r>
            <w:r>
              <w:rPr>
                <w:rFonts w:cs="Arial"/>
                <w:b/>
                <w:bCs/>
                <w:sz w:val="20"/>
                <w:szCs w:val="20"/>
                <w:lang w:eastAsia="en-GB"/>
              </w:rPr>
              <w:t>Responses</w:t>
            </w:r>
            <w:r>
              <w:rPr>
                <w:rFonts w:cs="Arial"/>
                <w:bCs/>
                <w:sz w:val="20"/>
                <w:szCs w:val="20"/>
                <w:lang w:eastAsia="en-GB"/>
              </w:rPr>
              <w:t xml:space="preserve"> to avoid land degradation and restore degraded land.</w:t>
            </w:r>
          </w:p>
          <w:p w:rsidR="001968AD" w:rsidRDefault="001968AD">
            <w:pPr>
              <w:autoSpaceDE w:val="0"/>
              <w:autoSpaceDN w:val="0"/>
              <w:adjustRightInd w:val="0"/>
              <w:rPr>
                <w:rFonts w:cs="Arial"/>
                <w:bCs/>
                <w:sz w:val="20"/>
                <w:szCs w:val="20"/>
                <w:lang w:eastAsia="en-GB"/>
              </w:rPr>
            </w:pPr>
            <w:r>
              <w:rPr>
                <w:rFonts w:cs="Arial"/>
                <w:sz w:val="20"/>
                <w:szCs w:val="20"/>
                <w:lang w:eastAsia="en-GB"/>
              </w:rPr>
              <w:t>.</w:t>
            </w: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6"/>
              </w:numPr>
              <w:autoSpaceDE w:val="0"/>
              <w:autoSpaceDN w:val="0"/>
              <w:adjustRightInd w:val="0"/>
              <w:rPr>
                <w:rFonts w:cs="Arial"/>
                <w:sz w:val="20"/>
                <w:szCs w:val="20"/>
                <w:lang w:eastAsia="en-GB"/>
              </w:rPr>
            </w:pPr>
            <w:r>
              <w:rPr>
                <w:rFonts w:cs="Arial"/>
                <w:sz w:val="20"/>
                <w:szCs w:val="20"/>
                <w:lang w:eastAsia="en-GB"/>
              </w:rPr>
              <w:t>A framework for assessing the effectiveness of existing interventions to prevent, halt, reduce and mitigate the processes of land degradation and to rehabilitate and restore degraded land</w:t>
            </w:r>
          </w:p>
          <w:p w:rsidR="001968AD" w:rsidRDefault="001968AD">
            <w:pPr>
              <w:autoSpaceDE w:val="0"/>
              <w:autoSpaceDN w:val="0"/>
              <w:adjustRightInd w:val="0"/>
              <w:ind w:left="360"/>
              <w:rPr>
                <w:rFonts w:cs="Arial"/>
                <w:sz w:val="20"/>
                <w:szCs w:val="20"/>
                <w:lang w:eastAsia="en-GB"/>
              </w:rPr>
            </w:pPr>
          </w:p>
        </w:tc>
      </w:tr>
      <w:tr w:rsidR="001968AD" w:rsidTr="00F55D23">
        <w:tc>
          <w:tcPr>
            <w:tcW w:w="2405" w:type="dxa"/>
            <w:tcBorders>
              <w:top w:val="single" w:sz="4" w:space="0" w:color="auto"/>
              <w:left w:val="single" w:sz="4" w:space="0" w:color="auto"/>
              <w:bottom w:val="single" w:sz="4" w:space="0" w:color="auto"/>
              <w:right w:val="single" w:sz="4" w:space="0" w:color="auto"/>
            </w:tcBorders>
          </w:tcPr>
          <w:p w:rsidR="001968AD" w:rsidRDefault="001968AD">
            <w:pPr>
              <w:autoSpaceDE w:val="0"/>
              <w:autoSpaceDN w:val="0"/>
              <w:adjustRightInd w:val="0"/>
              <w:rPr>
                <w:rFonts w:cs="Arial"/>
                <w:bCs/>
                <w:sz w:val="20"/>
                <w:szCs w:val="20"/>
                <w:lang w:eastAsia="en-GB"/>
              </w:rPr>
            </w:pPr>
            <w:r>
              <w:rPr>
                <w:rFonts w:cs="Arial"/>
                <w:bCs/>
                <w:sz w:val="20"/>
                <w:szCs w:val="20"/>
                <w:lang w:eastAsia="en-GB"/>
              </w:rPr>
              <w:t xml:space="preserve">Chapter 7. </w:t>
            </w:r>
            <w:r>
              <w:rPr>
                <w:rFonts w:cs="Arial"/>
                <w:b/>
                <w:bCs/>
                <w:sz w:val="20"/>
                <w:szCs w:val="20"/>
                <w:lang w:eastAsia="en-GB"/>
              </w:rPr>
              <w:t>Scenarios</w:t>
            </w:r>
            <w:r>
              <w:rPr>
                <w:rFonts w:cs="Arial"/>
                <w:bCs/>
                <w:sz w:val="20"/>
                <w:szCs w:val="20"/>
                <w:lang w:eastAsia="en-GB"/>
              </w:rPr>
              <w:t xml:space="preserve"> of land degradation and restoration. </w:t>
            </w:r>
          </w:p>
          <w:p w:rsidR="001968AD" w:rsidRDefault="001968AD">
            <w:pPr>
              <w:autoSpaceDE w:val="0"/>
              <w:autoSpaceDN w:val="0"/>
              <w:adjustRightInd w:val="0"/>
              <w:rPr>
                <w:rFonts w:cs="Arial"/>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tcPr>
          <w:p w:rsidR="001968AD" w:rsidRDefault="001968AD" w:rsidP="003A3FEE">
            <w:pPr>
              <w:numPr>
                <w:ilvl w:val="0"/>
                <w:numId w:val="6"/>
              </w:numPr>
              <w:autoSpaceDE w:val="0"/>
              <w:autoSpaceDN w:val="0"/>
              <w:adjustRightInd w:val="0"/>
              <w:rPr>
                <w:rFonts w:cs="Arial"/>
                <w:sz w:val="20"/>
                <w:szCs w:val="20"/>
                <w:lang w:eastAsia="en-GB"/>
              </w:rPr>
            </w:pPr>
            <w:r>
              <w:rPr>
                <w:rFonts w:cs="Arial"/>
                <w:sz w:val="20"/>
                <w:szCs w:val="20"/>
                <w:lang w:eastAsia="en-GB"/>
              </w:rPr>
              <w:t xml:space="preserve">Explore the implications of a range of plausible development scenarios, including the adoption of different response options across multiple scales, and their implications for land degradation and restoration globally, including impacts on human well-being and quality of life and possible trade-offs between social, economic and environmental objectives. </w:t>
            </w:r>
          </w:p>
          <w:p w:rsidR="001968AD" w:rsidRDefault="001968AD">
            <w:pPr>
              <w:autoSpaceDE w:val="0"/>
              <w:autoSpaceDN w:val="0"/>
              <w:adjustRightInd w:val="0"/>
              <w:ind w:left="360"/>
              <w:rPr>
                <w:rFonts w:cs="Arial"/>
                <w:sz w:val="20"/>
                <w:szCs w:val="20"/>
                <w:lang w:eastAsia="en-GB"/>
              </w:rPr>
            </w:pPr>
          </w:p>
        </w:tc>
      </w:tr>
      <w:tr w:rsidR="001968AD" w:rsidTr="00F55D23">
        <w:trPr>
          <w:trHeight w:val="913"/>
        </w:trPr>
        <w:tc>
          <w:tcPr>
            <w:tcW w:w="2405" w:type="dxa"/>
            <w:tcBorders>
              <w:top w:val="single" w:sz="4" w:space="0" w:color="auto"/>
              <w:left w:val="single" w:sz="4" w:space="0" w:color="auto"/>
              <w:bottom w:val="single" w:sz="4" w:space="0" w:color="auto"/>
              <w:right w:val="single" w:sz="4" w:space="0" w:color="auto"/>
            </w:tcBorders>
            <w:hideMark/>
          </w:tcPr>
          <w:p w:rsidR="001968AD" w:rsidRDefault="001968AD">
            <w:pPr>
              <w:autoSpaceDE w:val="0"/>
              <w:autoSpaceDN w:val="0"/>
              <w:adjustRightInd w:val="0"/>
              <w:rPr>
                <w:rFonts w:cs="Arial"/>
                <w:bCs/>
                <w:sz w:val="20"/>
                <w:szCs w:val="20"/>
                <w:lang w:eastAsia="en-GB"/>
              </w:rPr>
            </w:pPr>
            <w:r>
              <w:rPr>
                <w:rFonts w:cs="Arial"/>
                <w:bCs/>
                <w:sz w:val="20"/>
                <w:szCs w:val="20"/>
                <w:lang w:eastAsia="en-GB"/>
              </w:rPr>
              <w:t xml:space="preserve">Chapter 8. </w:t>
            </w:r>
            <w:r>
              <w:rPr>
                <w:rFonts w:cs="Arial"/>
                <w:b/>
                <w:bCs/>
                <w:sz w:val="20"/>
                <w:szCs w:val="20"/>
                <w:lang w:eastAsia="en-GB"/>
              </w:rPr>
              <w:t>Decision support</w:t>
            </w:r>
            <w:r>
              <w:rPr>
                <w:rFonts w:cs="Arial"/>
                <w:bCs/>
                <w:sz w:val="20"/>
                <w:szCs w:val="20"/>
                <w:lang w:eastAsia="en-GB"/>
              </w:rPr>
              <w:t xml:space="preserve"> to address land degradation and support restoration of degraded land. </w:t>
            </w:r>
          </w:p>
        </w:tc>
        <w:tc>
          <w:tcPr>
            <w:tcW w:w="6946" w:type="dxa"/>
            <w:tcBorders>
              <w:top w:val="single" w:sz="4" w:space="0" w:color="auto"/>
              <w:left w:val="single" w:sz="4" w:space="0" w:color="auto"/>
              <w:bottom w:val="single" w:sz="4" w:space="0" w:color="auto"/>
              <w:right w:val="single" w:sz="4" w:space="0" w:color="auto"/>
            </w:tcBorders>
            <w:hideMark/>
          </w:tcPr>
          <w:p w:rsidR="001968AD" w:rsidRDefault="001968AD" w:rsidP="003A3FEE">
            <w:pPr>
              <w:numPr>
                <w:ilvl w:val="0"/>
                <w:numId w:val="6"/>
              </w:numPr>
              <w:autoSpaceDE w:val="0"/>
              <w:autoSpaceDN w:val="0"/>
              <w:adjustRightInd w:val="0"/>
              <w:rPr>
                <w:rFonts w:cs="Arial"/>
                <w:sz w:val="20"/>
                <w:szCs w:val="20"/>
                <w:lang w:eastAsia="en-GB"/>
              </w:rPr>
            </w:pPr>
            <w:r>
              <w:rPr>
                <w:rFonts w:cs="Arial"/>
                <w:sz w:val="20"/>
                <w:szCs w:val="20"/>
                <w:lang w:eastAsia="en-GB"/>
              </w:rPr>
              <w:t>Consolidate and rationalize information necessary to support evidence-based decision-making for addressing land degradation problems and restoring degraded land.</w:t>
            </w:r>
          </w:p>
          <w:p w:rsidR="001968AD" w:rsidRDefault="001968AD" w:rsidP="003A3FEE">
            <w:pPr>
              <w:numPr>
                <w:ilvl w:val="0"/>
                <w:numId w:val="6"/>
              </w:numPr>
              <w:autoSpaceDE w:val="0"/>
              <w:autoSpaceDN w:val="0"/>
              <w:adjustRightInd w:val="0"/>
              <w:rPr>
                <w:rFonts w:cs="Arial"/>
                <w:sz w:val="20"/>
                <w:szCs w:val="20"/>
                <w:lang w:eastAsia="en-GB"/>
              </w:rPr>
            </w:pPr>
            <w:r>
              <w:rPr>
                <w:rFonts w:cs="Arial"/>
                <w:sz w:val="20"/>
                <w:szCs w:val="20"/>
                <w:lang w:eastAsia="en-GB"/>
              </w:rPr>
              <w:t xml:space="preserve">Assess actions necessary to develop institutional competencies in the detection and analysis of land degradation problems and the design, implementation, management and monitoring of response strategies, including data, methods, decision support tools and stakeholder engagement. </w:t>
            </w:r>
          </w:p>
        </w:tc>
      </w:tr>
    </w:tbl>
    <w:p w:rsidR="001968AD" w:rsidRDefault="001968AD" w:rsidP="001968AD">
      <w:pPr>
        <w:rPr>
          <w:rFonts w:cs="Arial"/>
          <w:sz w:val="20"/>
          <w:szCs w:val="20"/>
        </w:rPr>
      </w:pPr>
    </w:p>
    <w:p w:rsidR="004C5C5D" w:rsidRDefault="004C5C5D" w:rsidP="001968AD">
      <w:pPr>
        <w:rPr>
          <w:rFonts w:cs="Arial"/>
          <w:sz w:val="20"/>
          <w:szCs w:val="20"/>
        </w:rPr>
      </w:pPr>
    </w:p>
    <w:p w:rsidR="004C5C5D" w:rsidRDefault="004C5C5D" w:rsidP="001968AD">
      <w:pPr>
        <w:rPr>
          <w:rFonts w:cs="Arial"/>
          <w:sz w:val="20"/>
          <w:szCs w:val="20"/>
        </w:rPr>
      </w:pPr>
    </w:p>
    <w:p w:rsidR="004C5C5D" w:rsidRPr="00BF6403" w:rsidRDefault="004C5C5D" w:rsidP="004C5C5D">
      <w:pPr>
        <w:pStyle w:val="Heading2"/>
        <w:rPr>
          <w:lang w:val="en"/>
        </w:rPr>
      </w:pPr>
      <w:r w:rsidRPr="00BF6403">
        <w:rPr>
          <w:lang w:val="en"/>
        </w:rPr>
        <w:t>Regional Assessments</w:t>
      </w:r>
    </w:p>
    <w:p w:rsidR="004C5C5D" w:rsidRDefault="004C5C5D" w:rsidP="004C5C5D">
      <w:pPr>
        <w:autoSpaceDE w:val="0"/>
        <w:autoSpaceDN w:val="0"/>
        <w:adjustRightInd w:val="0"/>
        <w:rPr>
          <w:rFonts w:cs="Arial"/>
          <w:sz w:val="20"/>
          <w:szCs w:val="20"/>
          <w:lang w:val="en"/>
        </w:rPr>
      </w:pPr>
    </w:p>
    <w:p w:rsidR="004C5C5D" w:rsidRDefault="004C5C5D" w:rsidP="004C5C5D">
      <w:pPr>
        <w:autoSpaceDE w:val="0"/>
        <w:autoSpaceDN w:val="0"/>
        <w:adjustRightInd w:val="0"/>
        <w:rPr>
          <w:rFonts w:cs="Arial"/>
          <w:sz w:val="20"/>
          <w:szCs w:val="20"/>
          <w:lang w:val="en"/>
        </w:rPr>
      </w:pPr>
      <w:r>
        <w:rPr>
          <w:rFonts w:cs="Arial"/>
          <w:b/>
          <w:sz w:val="20"/>
          <w:szCs w:val="20"/>
          <w:lang w:val="en"/>
        </w:rPr>
        <w:t xml:space="preserve">Aim: </w:t>
      </w:r>
      <w:r w:rsidRPr="00A0353E">
        <w:rPr>
          <w:rFonts w:cs="Arial"/>
          <w:sz w:val="20"/>
          <w:szCs w:val="20"/>
          <w:lang w:val="en"/>
        </w:rPr>
        <w:t>The overall aim</w:t>
      </w:r>
      <w:r>
        <w:rPr>
          <w:rFonts w:cs="Arial"/>
          <w:sz w:val="20"/>
          <w:szCs w:val="20"/>
          <w:lang w:val="en"/>
        </w:rPr>
        <w:t xml:space="preserve"> of the regional assessments</w:t>
      </w:r>
      <w:r w:rsidRPr="00A0353E">
        <w:rPr>
          <w:rFonts w:cs="Arial"/>
          <w:sz w:val="20"/>
          <w:szCs w:val="20"/>
          <w:lang w:val="en"/>
        </w:rPr>
        <w:t xml:space="preserve"> will be to assess the status and trends of biodiversity and ecosystem services, the impact of biodiversity and ecosystem services on human well-being and the effectiveness of responses, including the </w:t>
      </w:r>
      <w:r>
        <w:rPr>
          <w:rFonts w:cs="Arial"/>
          <w:sz w:val="20"/>
          <w:szCs w:val="20"/>
          <w:lang w:val="en"/>
        </w:rPr>
        <w:t xml:space="preserve">CBD </w:t>
      </w:r>
      <w:r w:rsidRPr="00A0353E">
        <w:rPr>
          <w:rFonts w:cs="Arial"/>
          <w:sz w:val="20"/>
          <w:szCs w:val="20"/>
          <w:lang w:val="en"/>
        </w:rPr>
        <w:t>Strategic Plan and its Aichi Biodiversity Targets</w:t>
      </w:r>
      <w:r>
        <w:rPr>
          <w:rFonts w:cs="Arial"/>
          <w:sz w:val="20"/>
          <w:szCs w:val="20"/>
          <w:lang w:val="en"/>
        </w:rPr>
        <w:t xml:space="preserve">, and </w:t>
      </w:r>
      <w:r w:rsidRPr="00A0353E">
        <w:rPr>
          <w:rFonts w:cs="Arial"/>
          <w:sz w:val="20"/>
          <w:szCs w:val="20"/>
          <w:lang w:val="en"/>
        </w:rPr>
        <w:t xml:space="preserve">national biodiversity strategies and action plans. The assessments </w:t>
      </w:r>
      <w:r>
        <w:rPr>
          <w:rFonts w:cs="Arial"/>
          <w:sz w:val="20"/>
          <w:szCs w:val="20"/>
          <w:lang w:val="en"/>
        </w:rPr>
        <w:t>will</w:t>
      </w:r>
      <w:r w:rsidRPr="00A0353E">
        <w:rPr>
          <w:rFonts w:cs="Arial"/>
          <w:sz w:val="20"/>
          <w:szCs w:val="20"/>
          <w:lang w:val="en"/>
        </w:rPr>
        <w:t xml:space="preserve"> also identify the need for capacity, knowledge and policy support tools.</w:t>
      </w:r>
      <w:r>
        <w:rPr>
          <w:rFonts w:cs="Arial"/>
          <w:sz w:val="20"/>
          <w:szCs w:val="20"/>
          <w:lang w:val="en"/>
        </w:rPr>
        <w:t xml:space="preserve">  </w:t>
      </w:r>
      <w:r>
        <w:rPr>
          <w:rFonts w:ascii="Times-Roman" w:hAnsi="Times-Roman" w:cs="Times-Roman"/>
          <w:sz w:val="19"/>
          <w:szCs w:val="19"/>
          <w:lang w:eastAsia="en-GB"/>
        </w:rPr>
        <w:t>The assessments will address terrestrial, freshwater, coastal and marine biodiversity, ecosystem functions and ecosystem services.</w:t>
      </w:r>
    </w:p>
    <w:p w:rsidR="004C5C5D" w:rsidRDefault="004C5C5D" w:rsidP="004C5C5D">
      <w:pPr>
        <w:rPr>
          <w:rFonts w:cs="Arial"/>
          <w:sz w:val="20"/>
          <w:szCs w:val="20"/>
          <w:lang w:val="en"/>
        </w:rPr>
      </w:pPr>
    </w:p>
    <w:p w:rsidR="004C5C5D" w:rsidRDefault="004C5C5D" w:rsidP="004C5C5D">
      <w:pPr>
        <w:rPr>
          <w:rFonts w:cs="Arial"/>
          <w:sz w:val="20"/>
          <w:szCs w:val="20"/>
          <w:lang w:val="en"/>
        </w:rPr>
      </w:pPr>
      <w:r>
        <w:rPr>
          <w:rFonts w:cs="Arial"/>
          <w:sz w:val="20"/>
          <w:szCs w:val="20"/>
          <w:lang w:val="en"/>
        </w:rPr>
        <w:t>There are four RAs:</w:t>
      </w:r>
    </w:p>
    <w:p w:rsidR="004C5C5D" w:rsidRDefault="004C5C5D" w:rsidP="004C5C5D">
      <w:pPr>
        <w:numPr>
          <w:ilvl w:val="0"/>
          <w:numId w:val="7"/>
        </w:numPr>
        <w:rPr>
          <w:rFonts w:cs="Arial"/>
          <w:sz w:val="20"/>
          <w:szCs w:val="20"/>
          <w:lang w:val="en"/>
        </w:rPr>
      </w:pPr>
      <w:r>
        <w:rPr>
          <w:rFonts w:cs="Arial"/>
          <w:sz w:val="20"/>
          <w:szCs w:val="20"/>
          <w:lang w:val="en"/>
        </w:rPr>
        <w:t>Africa;</w:t>
      </w:r>
    </w:p>
    <w:p w:rsidR="004C5C5D" w:rsidRDefault="004C5C5D" w:rsidP="004C5C5D">
      <w:pPr>
        <w:numPr>
          <w:ilvl w:val="0"/>
          <w:numId w:val="7"/>
        </w:numPr>
        <w:rPr>
          <w:rFonts w:cs="Arial"/>
          <w:sz w:val="20"/>
          <w:szCs w:val="20"/>
          <w:lang w:val="en"/>
        </w:rPr>
      </w:pPr>
      <w:r>
        <w:rPr>
          <w:rFonts w:cs="Arial"/>
          <w:sz w:val="20"/>
          <w:szCs w:val="20"/>
          <w:lang w:val="en"/>
        </w:rPr>
        <w:t>Americas;</w:t>
      </w:r>
    </w:p>
    <w:p w:rsidR="004C5C5D" w:rsidRDefault="004C5C5D" w:rsidP="004C5C5D">
      <w:pPr>
        <w:numPr>
          <w:ilvl w:val="0"/>
          <w:numId w:val="7"/>
        </w:numPr>
        <w:rPr>
          <w:rFonts w:cs="Arial"/>
          <w:sz w:val="20"/>
          <w:szCs w:val="20"/>
          <w:lang w:val="en"/>
        </w:rPr>
      </w:pPr>
      <w:r>
        <w:rPr>
          <w:rFonts w:cs="Arial"/>
          <w:sz w:val="20"/>
          <w:szCs w:val="20"/>
          <w:lang w:val="en"/>
        </w:rPr>
        <w:t>Asia-Pacific; and</w:t>
      </w:r>
    </w:p>
    <w:p w:rsidR="004C5C5D" w:rsidRDefault="004C5C5D" w:rsidP="004C5C5D">
      <w:pPr>
        <w:numPr>
          <w:ilvl w:val="0"/>
          <w:numId w:val="7"/>
        </w:numPr>
        <w:rPr>
          <w:rFonts w:cs="Arial"/>
          <w:sz w:val="20"/>
          <w:szCs w:val="20"/>
          <w:lang w:val="en"/>
        </w:rPr>
      </w:pPr>
      <w:r>
        <w:rPr>
          <w:rFonts w:cs="Arial"/>
          <w:sz w:val="20"/>
          <w:szCs w:val="20"/>
          <w:lang w:val="en"/>
        </w:rPr>
        <w:t>Europe and Central Asia</w:t>
      </w:r>
    </w:p>
    <w:p w:rsidR="004C5C5D" w:rsidRDefault="004C5C5D" w:rsidP="004C5C5D">
      <w:pPr>
        <w:rPr>
          <w:rFonts w:cs="Arial"/>
          <w:sz w:val="20"/>
          <w:szCs w:val="20"/>
          <w:lang w:val="en"/>
        </w:rPr>
      </w:pPr>
    </w:p>
    <w:p w:rsidR="004C5C5D" w:rsidRDefault="004C5C5D" w:rsidP="004C5C5D">
      <w:pPr>
        <w:rPr>
          <w:rFonts w:cs="Arial"/>
          <w:sz w:val="20"/>
          <w:szCs w:val="20"/>
          <w:lang w:val="en"/>
        </w:rPr>
      </w:pPr>
      <w:r>
        <w:rPr>
          <w:rFonts w:cs="Arial"/>
          <w:sz w:val="20"/>
          <w:szCs w:val="20"/>
          <w:lang w:val="en"/>
        </w:rPr>
        <w:lastRenderedPageBreak/>
        <w:t xml:space="preserve">All RAs will follow the same </w:t>
      </w:r>
      <w:hyperlink r:id="rId6" w:history="1">
        <w:r w:rsidRPr="00063C45">
          <w:rPr>
            <w:rStyle w:val="Hyperlink"/>
            <w:rFonts w:cs="Arial"/>
            <w:sz w:val="20"/>
            <w:szCs w:val="20"/>
            <w:lang w:val="en"/>
          </w:rPr>
          <w:t>generic scope an</w:t>
        </w:r>
        <w:r w:rsidRPr="00063C45">
          <w:rPr>
            <w:rStyle w:val="Hyperlink"/>
            <w:rFonts w:cs="Arial"/>
            <w:sz w:val="20"/>
            <w:szCs w:val="20"/>
            <w:lang w:val="en"/>
          </w:rPr>
          <w:t>d</w:t>
        </w:r>
        <w:r w:rsidRPr="00063C45">
          <w:rPr>
            <w:rStyle w:val="Hyperlink"/>
            <w:rFonts w:cs="Arial"/>
            <w:sz w:val="20"/>
            <w:szCs w:val="20"/>
            <w:lang w:val="en"/>
          </w:rPr>
          <w:t xml:space="preserve"> chapter outline</w:t>
        </w:r>
      </w:hyperlink>
      <w:r>
        <w:rPr>
          <w:rFonts w:cs="Arial"/>
          <w:sz w:val="20"/>
          <w:szCs w:val="20"/>
          <w:lang w:val="en"/>
        </w:rPr>
        <w:t xml:space="preserve">, but each is underpinned by a more regionally defined scope – accessible via the links </w:t>
      </w:r>
      <w:hyperlink r:id="rId7" w:history="1">
        <w:r w:rsidRPr="00063C45">
          <w:rPr>
            <w:rStyle w:val="Hyperlink"/>
            <w:rFonts w:cs="Arial"/>
            <w:sz w:val="20"/>
            <w:szCs w:val="20"/>
            <w:lang w:val="en"/>
          </w:rPr>
          <w:t>here</w:t>
        </w:r>
      </w:hyperlink>
      <w:r>
        <w:rPr>
          <w:rFonts w:cs="Arial"/>
          <w:sz w:val="20"/>
          <w:szCs w:val="20"/>
          <w:lang w:val="en"/>
        </w:rPr>
        <w:t>.  The table below summarises the generic scope of the RAs, and reflects the additional coverage of the Europe and Central Asia Assessment.</w:t>
      </w:r>
    </w:p>
    <w:p w:rsidR="004C5C5D" w:rsidRDefault="004C5C5D" w:rsidP="004C5C5D">
      <w:pPr>
        <w:rPr>
          <w:rFonts w:cs="Arial"/>
          <w:sz w:val="20"/>
          <w:szCs w:val="20"/>
          <w:lang w:val="en"/>
        </w:rPr>
      </w:pPr>
    </w:p>
    <w:p w:rsidR="004C5C5D" w:rsidRDefault="004C5C5D" w:rsidP="004C5C5D">
      <w:pPr>
        <w:rPr>
          <w:rFonts w:cs="Arial"/>
          <w:sz w:val="20"/>
          <w:szCs w:val="20"/>
          <w:lang w:val="en"/>
        </w:rPr>
      </w:pPr>
    </w:p>
    <w:p w:rsidR="004C5C5D" w:rsidRDefault="004C5C5D" w:rsidP="004C5C5D">
      <w:pPr>
        <w:rPr>
          <w:rFonts w:cs="Arial"/>
          <w:b/>
          <w:sz w:val="20"/>
          <w:szCs w:val="20"/>
        </w:rPr>
      </w:pPr>
      <w:r>
        <w:rPr>
          <w:rFonts w:cs="Arial"/>
          <w:b/>
          <w:sz w:val="20"/>
          <w:szCs w:val="20"/>
        </w:rPr>
        <w:t>Scope/Chapter Outline of the Regional Assessments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4C5C5D" w:rsidRPr="009624AD" w:rsidTr="00F55D23">
        <w:tc>
          <w:tcPr>
            <w:tcW w:w="2405" w:type="dxa"/>
            <w:shd w:val="clear" w:color="auto" w:fill="auto"/>
          </w:tcPr>
          <w:p w:rsidR="004C5C5D" w:rsidRPr="009624AD" w:rsidRDefault="004C5C5D" w:rsidP="003A3FEE">
            <w:pPr>
              <w:rPr>
                <w:rFonts w:cs="Arial"/>
                <w:b/>
                <w:sz w:val="20"/>
                <w:szCs w:val="20"/>
              </w:rPr>
            </w:pPr>
            <w:r>
              <w:rPr>
                <w:rFonts w:cs="Arial"/>
                <w:b/>
                <w:sz w:val="20"/>
                <w:szCs w:val="20"/>
              </w:rPr>
              <w:t xml:space="preserve"> </w:t>
            </w:r>
            <w:r w:rsidRPr="009624AD">
              <w:rPr>
                <w:rFonts w:cs="Arial"/>
                <w:b/>
                <w:sz w:val="20"/>
                <w:szCs w:val="20"/>
              </w:rPr>
              <w:t>Chapter</w:t>
            </w:r>
          </w:p>
        </w:tc>
        <w:tc>
          <w:tcPr>
            <w:tcW w:w="6946" w:type="dxa"/>
            <w:shd w:val="clear" w:color="auto" w:fill="auto"/>
          </w:tcPr>
          <w:p w:rsidR="004C5C5D" w:rsidRPr="009624AD" w:rsidRDefault="004C5C5D" w:rsidP="003A3FEE">
            <w:pPr>
              <w:rPr>
                <w:rFonts w:cs="Arial"/>
                <w:b/>
                <w:sz w:val="20"/>
                <w:szCs w:val="20"/>
              </w:rPr>
            </w:pPr>
            <w:r w:rsidRPr="009624AD">
              <w:rPr>
                <w:rFonts w:cs="Arial"/>
                <w:b/>
                <w:sz w:val="20"/>
                <w:szCs w:val="20"/>
              </w:rPr>
              <w:t>Outline</w:t>
            </w:r>
          </w:p>
        </w:tc>
      </w:tr>
      <w:tr w:rsidR="004C5C5D" w:rsidRPr="009624AD" w:rsidTr="00F55D23">
        <w:tc>
          <w:tcPr>
            <w:tcW w:w="2405" w:type="dxa"/>
            <w:shd w:val="clear" w:color="auto" w:fill="auto"/>
          </w:tcPr>
          <w:p w:rsidR="004C5C5D" w:rsidRPr="00FD1A82" w:rsidRDefault="004C5C5D" w:rsidP="003A3FEE">
            <w:pPr>
              <w:rPr>
                <w:rFonts w:cs="Arial"/>
                <w:bCs/>
                <w:sz w:val="20"/>
                <w:szCs w:val="20"/>
                <w:lang w:eastAsia="en-GB"/>
              </w:rPr>
            </w:pPr>
            <w:r>
              <w:rPr>
                <w:rFonts w:cs="Arial"/>
                <w:bCs/>
                <w:sz w:val="20"/>
                <w:szCs w:val="20"/>
                <w:lang w:eastAsia="en-GB"/>
              </w:rPr>
              <w:t>Summary for Policy Makers</w:t>
            </w:r>
          </w:p>
        </w:tc>
        <w:tc>
          <w:tcPr>
            <w:tcW w:w="6946" w:type="dxa"/>
            <w:shd w:val="clear" w:color="auto" w:fill="auto"/>
          </w:tcPr>
          <w:p w:rsidR="004C5C5D" w:rsidRPr="00C07147" w:rsidRDefault="004C5C5D" w:rsidP="004C5C5D">
            <w:pPr>
              <w:numPr>
                <w:ilvl w:val="0"/>
                <w:numId w:val="8"/>
              </w:numPr>
              <w:autoSpaceDE w:val="0"/>
              <w:autoSpaceDN w:val="0"/>
              <w:adjustRightInd w:val="0"/>
              <w:rPr>
                <w:rFonts w:cs="Arial"/>
                <w:sz w:val="20"/>
                <w:szCs w:val="20"/>
                <w:lang w:eastAsia="en-GB"/>
              </w:rPr>
            </w:pPr>
            <w:r>
              <w:rPr>
                <w:sz w:val="20"/>
                <w:szCs w:val="20"/>
              </w:rPr>
              <w:t>A policy-relevant but not policy-prescriptive summary of the assessment</w:t>
            </w:r>
          </w:p>
          <w:p w:rsidR="004C5C5D" w:rsidRPr="00D336AB" w:rsidRDefault="004C5C5D" w:rsidP="004C5C5D">
            <w:pPr>
              <w:numPr>
                <w:ilvl w:val="0"/>
                <w:numId w:val="8"/>
              </w:numPr>
              <w:autoSpaceDE w:val="0"/>
              <w:autoSpaceDN w:val="0"/>
              <w:adjustRightInd w:val="0"/>
              <w:rPr>
                <w:rFonts w:cs="Arial"/>
                <w:sz w:val="20"/>
                <w:szCs w:val="20"/>
              </w:rPr>
            </w:pPr>
            <w:r w:rsidRPr="00C07147">
              <w:rPr>
                <w:i/>
                <w:sz w:val="20"/>
                <w:szCs w:val="20"/>
              </w:rPr>
              <w:t>Note, Approval of a summary for policymakers signifies that it is consistent with the factual material contained in the full scientific, technical and socioeconomic assessment accepted by the Plenary – some cross reference between the SPM and underlying assessment will be needed.</w:t>
            </w:r>
          </w:p>
          <w:p w:rsidR="004C5C5D" w:rsidRPr="009624AD" w:rsidRDefault="004C5C5D" w:rsidP="003A3FEE">
            <w:pPr>
              <w:autoSpaceDE w:val="0"/>
              <w:autoSpaceDN w:val="0"/>
              <w:adjustRightInd w:val="0"/>
              <w:ind w:left="360"/>
              <w:rPr>
                <w:rFonts w:cs="Arial"/>
                <w:sz w:val="20"/>
                <w:szCs w:val="20"/>
              </w:rPr>
            </w:pPr>
          </w:p>
        </w:tc>
      </w:tr>
      <w:tr w:rsidR="004C5C5D" w:rsidRPr="009624AD" w:rsidTr="00F55D23">
        <w:tc>
          <w:tcPr>
            <w:tcW w:w="2405" w:type="dxa"/>
            <w:shd w:val="clear" w:color="auto" w:fill="auto"/>
          </w:tcPr>
          <w:p w:rsidR="004C5C5D" w:rsidRPr="00FD1A82" w:rsidRDefault="004C5C5D" w:rsidP="003A3FEE">
            <w:pPr>
              <w:rPr>
                <w:rFonts w:cs="Arial"/>
                <w:sz w:val="20"/>
                <w:szCs w:val="20"/>
              </w:rPr>
            </w:pPr>
            <w:r w:rsidRPr="00FD1A82">
              <w:rPr>
                <w:rFonts w:cs="Arial"/>
                <w:bCs/>
                <w:sz w:val="20"/>
                <w:szCs w:val="20"/>
                <w:lang w:eastAsia="en-GB"/>
              </w:rPr>
              <w:t>Chapter 1. Setting the scene</w:t>
            </w:r>
          </w:p>
        </w:tc>
        <w:tc>
          <w:tcPr>
            <w:tcW w:w="6946" w:type="dxa"/>
            <w:shd w:val="clear" w:color="auto" w:fill="auto"/>
          </w:tcPr>
          <w:p w:rsidR="004C5C5D" w:rsidRPr="009624AD" w:rsidRDefault="004C5C5D" w:rsidP="004C5C5D">
            <w:pPr>
              <w:numPr>
                <w:ilvl w:val="0"/>
                <w:numId w:val="8"/>
              </w:numPr>
              <w:autoSpaceDE w:val="0"/>
              <w:autoSpaceDN w:val="0"/>
              <w:adjustRightInd w:val="0"/>
              <w:rPr>
                <w:rFonts w:cs="Arial"/>
                <w:sz w:val="20"/>
                <w:szCs w:val="20"/>
              </w:rPr>
            </w:pPr>
            <w:r w:rsidRPr="009624AD">
              <w:rPr>
                <w:rFonts w:cs="Arial"/>
                <w:sz w:val="20"/>
                <w:szCs w:val="20"/>
              </w:rPr>
              <w:t xml:space="preserve">Present the policy-relevant questions and explain how each assessment reflects the </w:t>
            </w:r>
            <w:r>
              <w:rPr>
                <w:rFonts w:cs="Arial"/>
                <w:sz w:val="20"/>
                <w:szCs w:val="20"/>
              </w:rPr>
              <w:t xml:space="preserve">IPBES </w:t>
            </w:r>
            <w:r w:rsidRPr="009624AD">
              <w:rPr>
                <w:rFonts w:cs="Arial"/>
                <w:sz w:val="20"/>
                <w:szCs w:val="20"/>
              </w:rPr>
              <w:t>conceptual framework</w:t>
            </w:r>
          </w:p>
          <w:p w:rsidR="004C5C5D" w:rsidRPr="009624AD" w:rsidRDefault="004C5C5D" w:rsidP="004C5C5D">
            <w:pPr>
              <w:numPr>
                <w:ilvl w:val="0"/>
                <w:numId w:val="8"/>
              </w:numPr>
              <w:autoSpaceDE w:val="0"/>
              <w:autoSpaceDN w:val="0"/>
              <w:adjustRightInd w:val="0"/>
              <w:rPr>
                <w:rFonts w:cs="Arial"/>
                <w:sz w:val="20"/>
                <w:szCs w:val="20"/>
              </w:rPr>
            </w:pPr>
            <w:r w:rsidRPr="009624AD">
              <w:rPr>
                <w:rFonts w:cs="Arial"/>
                <w:sz w:val="20"/>
                <w:szCs w:val="20"/>
              </w:rPr>
              <w:t>Demonstrate how the assessment addresses policy questions, including</w:t>
            </w:r>
            <w:r>
              <w:rPr>
                <w:rFonts w:cs="Arial"/>
                <w:sz w:val="20"/>
                <w:szCs w:val="20"/>
              </w:rPr>
              <w:t xml:space="preserve"> </w:t>
            </w:r>
            <w:r w:rsidRPr="009624AD">
              <w:rPr>
                <w:rFonts w:cs="Arial"/>
                <w:sz w:val="20"/>
                <w:szCs w:val="20"/>
              </w:rPr>
              <w:t xml:space="preserve">those related to implementation of the Convention on Biological Diversity Strategic Plan 2011–2020 and its Aichi Biodiversity Targets. </w:t>
            </w:r>
          </w:p>
          <w:p w:rsidR="004C5C5D" w:rsidRDefault="004C5C5D" w:rsidP="004C5C5D">
            <w:pPr>
              <w:numPr>
                <w:ilvl w:val="0"/>
                <w:numId w:val="8"/>
              </w:numPr>
              <w:autoSpaceDE w:val="0"/>
              <w:autoSpaceDN w:val="0"/>
              <w:adjustRightInd w:val="0"/>
              <w:rPr>
                <w:rFonts w:cs="Arial"/>
                <w:sz w:val="20"/>
                <w:szCs w:val="20"/>
              </w:rPr>
            </w:pPr>
            <w:r w:rsidRPr="009624AD">
              <w:rPr>
                <w:rFonts w:cs="Arial"/>
                <w:sz w:val="20"/>
                <w:szCs w:val="20"/>
              </w:rPr>
              <w:t>Outline the</w:t>
            </w:r>
            <w:r>
              <w:rPr>
                <w:rFonts w:cs="Arial"/>
                <w:sz w:val="20"/>
                <w:szCs w:val="20"/>
              </w:rPr>
              <w:t xml:space="preserve"> </w:t>
            </w:r>
            <w:r w:rsidRPr="009624AD">
              <w:rPr>
                <w:rFonts w:cs="Arial"/>
                <w:sz w:val="20"/>
                <w:szCs w:val="20"/>
              </w:rPr>
              <w:t xml:space="preserve">methodologies and approaches used in the assessment and outline how the assessment will identify and address uncertainties and gaps in data and knowledge. </w:t>
            </w:r>
          </w:p>
          <w:p w:rsidR="004C5C5D" w:rsidRPr="009624AD" w:rsidRDefault="004C5C5D" w:rsidP="003A3FEE">
            <w:pPr>
              <w:autoSpaceDE w:val="0"/>
              <w:autoSpaceDN w:val="0"/>
              <w:adjustRightInd w:val="0"/>
              <w:ind w:left="360"/>
              <w:rPr>
                <w:rFonts w:cs="Arial"/>
                <w:sz w:val="20"/>
                <w:szCs w:val="20"/>
              </w:rPr>
            </w:pPr>
          </w:p>
        </w:tc>
      </w:tr>
      <w:tr w:rsidR="004C5C5D" w:rsidRPr="009624AD" w:rsidTr="00F55D23">
        <w:tc>
          <w:tcPr>
            <w:tcW w:w="2405" w:type="dxa"/>
            <w:shd w:val="clear" w:color="auto" w:fill="auto"/>
          </w:tcPr>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Chapter 2. Nature’s benefits to people and quality of life</w:t>
            </w:r>
          </w:p>
        </w:tc>
        <w:tc>
          <w:tcPr>
            <w:tcW w:w="6946" w:type="dxa"/>
            <w:shd w:val="clear" w:color="auto" w:fill="auto"/>
          </w:tcPr>
          <w:p w:rsidR="004C5C5D" w:rsidRPr="009624AD" w:rsidRDefault="004C5C5D" w:rsidP="004C5C5D">
            <w:pPr>
              <w:numPr>
                <w:ilvl w:val="0"/>
                <w:numId w:val="9"/>
              </w:numPr>
              <w:autoSpaceDE w:val="0"/>
              <w:autoSpaceDN w:val="0"/>
              <w:adjustRightInd w:val="0"/>
              <w:rPr>
                <w:rFonts w:cs="Arial"/>
                <w:sz w:val="20"/>
                <w:szCs w:val="20"/>
                <w:lang w:eastAsia="en-GB"/>
              </w:rPr>
            </w:pPr>
            <w:r w:rsidRPr="009624AD">
              <w:rPr>
                <w:rFonts w:cs="Arial"/>
                <w:sz w:val="20"/>
                <w:szCs w:val="20"/>
                <w:lang w:eastAsia="en-GB"/>
              </w:rPr>
              <w:t xml:space="preserve">Assess the values of nature’s benefits to people, including the interrelationship between biodiversity, ecosystem functions and society; the geographical difference between the production and use of ecosystem services and the status, trends and future dynamics of ecosystem goods and services and nature’s gifts to people. </w:t>
            </w:r>
          </w:p>
          <w:p w:rsidR="004C5C5D" w:rsidRDefault="004C5C5D" w:rsidP="004C5C5D">
            <w:pPr>
              <w:numPr>
                <w:ilvl w:val="0"/>
                <w:numId w:val="9"/>
              </w:numPr>
              <w:autoSpaceDE w:val="0"/>
              <w:autoSpaceDN w:val="0"/>
              <w:adjustRightInd w:val="0"/>
              <w:rPr>
                <w:rFonts w:cs="Arial"/>
                <w:sz w:val="20"/>
                <w:szCs w:val="20"/>
                <w:lang w:eastAsia="en-GB"/>
              </w:rPr>
            </w:pPr>
            <w:r w:rsidRPr="009624AD">
              <w:rPr>
                <w:rFonts w:cs="Arial"/>
                <w:sz w:val="20"/>
                <w:szCs w:val="20"/>
                <w:lang w:eastAsia="en-GB"/>
              </w:rPr>
              <w:t xml:space="preserve">Assess the different impacts of changes in nature’s benefits to people </w:t>
            </w:r>
            <w:proofErr w:type="gramStart"/>
            <w:r w:rsidRPr="009624AD">
              <w:rPr>
                <w:rFonts w:cs="Arial"/>
                <w:sz w:val="20"/>
                <w:szCs w:val="20"/>
                <w:lang w:eastAsia="en-GB"/>
              </w:rPr>
              <w:t>with regard to</w:t>
            </w:r>
            <w:proofErr w:type="gramEnd"/>
            <w:r w:rsidRPr="009624AD">
              <w:rPr>
                <w:rFonts w:cs="Arial"/>
                <w:sz w:val="20"/>
                <w:szCs w:val="20"/>
                <w:lang w:eastAsia="en-GB"/>
              </w:rPr>
              <w:t xml:space="preserve"> food security, energy security, livelihood security and health security and identify aspects of biodiversity and ecosystem functions and services that are critical to social relationships, spirituality and cultural identity. </w:t>
            </w:r>
          </w:p>
          <w:p w:rsidR="004C5C5D" w:rsidRDefault="004C5C5D" w:rsidP="004C5C5D">
            <w:pPr>
              <w:numPr>
                <w:ilvl w:val="0"/>
                <w:numId w:val="9"/>
              </w:numPr>
              <w:autoSpaceDE w:val="0"/>
              <w:autoSpaceDN w:val="0"/>
              <w:adjustRightInd w:val="0"/>
              <w:rPr>
                <w:rFonts w:cs="Arial"/>
                <w:sz w:val="20"/>
                <w:szCs w:val="20"/>
                <w:lang w:eastAsia="en-GB"/>
              </w:rPr>
            </w:pPr>
            <w:proofErr w:type="spellStart"/>
            <w:r>
              <w:rPr>
                <w:rFonts w:cs="Arial"/>
                <w:sz w:val="20"/>
                <w:szCs w:val="20"/>
                <w:lang w:eastAsia="en-GB"/>
              </w:rPr>
              <w:t>ECA</w:t>
            </w:r>
            <w:proofErr w:type="spellEnd"/>
            <w:r>
              <w:rPr>
                <w:rFonts w:cs="Arial"/>
                <w:sz w:val="20"/>
                <w:szCs w:val="20"/>
                <w:lang w:eastAsia="en-GB"/>
              </w:rPr>
              <w:t xml:space="preserve"> specific: </w:t>
            </w:r>
            <w:r>
              <w:rPr>
                <w:sz w:val="20"/>
                <w:szCs w:val="20"/>
              </w:rPr>
              <w:t>analysis will also address the impact of ecosystem services on society and how innovation and nature-based solutions are influencing the job market in the region. The chapter will also examine the multiple values of biodiversity</w:t>
            </w:r>
          </w:p>
          <w:p w:rsidR="004C5C5D" w:rsidRPr="009624AD" w:rsidRDefault="004C5C5D" w:rsidP="003A3FEE">
            <w:pPr>
              <w:autoSpaceDE w:val="0"/>
              <w:autoSpaceDN w:val="0"/>
              <w:adjustRightInd w:val="0"/>
              <w:ind w:left="360"/>
              <w:rPr>
                <w:rFonts w:cs="Arial"/>
                <w:sz w:val="20"/>
                <w:szCs w:val="20"/>
                <w:lang w:eastAsia="en-GB"/>
              </w:rPr>
            </w:pPr>
          </w:p>
        </w:tc>
      </w:tr>
      <w:tr w:rsidR="004C5C5D" w:rsidRPr="009624AD" w:rsidTr="00F55D23">
        <w:tc>
          <w:tcPr>
            <w:tcW w:w="2405" w:type="dxa"/>
            <w:shd w:val="clear" w:color="auto" w:fill="auto"/>
          </w:tcPr>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Chapter 3. Status, trends and future dynamics of biodiversity and ecosystems underpinning</w:t>
            </w:r>
          </w:p>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nature’s benefits to people</w:t>
            </w:r>
          </w:p>
        </w:tc>
        <w:tc>
          <w:tcPr>
            <w:tcW w:w="6946" w:type="dxa"/>
            <w:shd w:val="clear" w:color="auto" w:fill="auto"/>
          </w:tcPr>
          <w:p w:rsidR="004C5C5D" w:rsidRPr="009624AD" w:rsidRDefault="004C5C5D" w:rsidP="004C5C5D">
            <w:pPr>
              <w:numPr>
                <w:ilvl w:val="0"/>
                <w:numId w:val="10"/>
              </w:numPr>
              <w:autoSpaceDE w:val="0"/>
              <w:autoSpaceDN w:val="0"/>
              <w:adjustRightInd w:val="0"/>
              <w:rPr>
                <w:rFonts w:cs="Arial"/>
                <w:sz w:val="20"/>
                <w:szCs w:val="20"/>
                <w:lang w:eastAsia="en-GB"/>
              </w:rPr>
            </w:pPr>
            <w:r w:rsidRPr="009624AD">
              <w:rPr>
                <w:rFonts w:cs="Arial"/>
                <w:sz w:val="20"/>
                <w:szCs w:val="20"/>
                <w:lang w:eastAsia="en-GB"/>
              </w:rPr>
              <w:t xml:space="preserve">Assess what is known about the past and current trends and future dynamics of biodiversity and ecosystems and their positive and negative effects on the key ecosystem goods and services identified in chapter 2. </w:t>
            </w:r>
          </w:p>
          <w:p w:rsidR="004C5C5D" w:rsidRPr="009624AD" w:rsidRDefault="004C5C5D" w:rsidP="004C5C5D">
            <w:pPr>
              <w:numPr>
                <w:ilvl w:val="0"/>
                <w:numId w:val="10"/>
              </w:numPr>
              <w:autoSpaceDE w:val="0"/>
              <w:autoSpaceDN w:val="0"/>
              <w:adjustRightInd w:val="0"/>
              <w:rPr>
                <w:rFonts w:cs="Arial"/>
                <w:sz w:val="20"/>
                <w:szCs w:val="20"/>
                <w:lang w:eastAsia="en-GB"/>
              </w:rPr>
            </w:pPr>
            <w:r w:rsidRPr="009624AD">
              <w:rPr>
                <w:rFonts w:cs="Arial"/>
                <w:sz w:val="20"/>
                <w:szCs w:val="20"/>
                <w:lang w:eastAsia="en-GB"/>
              </w:rPr>
              <w:t>It will consider both structural and functional ecosystem diversity and genetic diversity and the area and extent of ecosystems and include fragile habitats and hotspots and species of special concern and importance.</w:t>
            </w:r>
          </w:p>
          <w:p w:rsidR="004C5C5D" w:rsidRDefault="004C5C5D" w:rsidP="004C5C5D">
            <w:pPr>
              <w:numPr>
                <w:ilvl w:val="0"/>
                <w:numId w:val="10"/>
              </w:numPr>
              <w:autoSpaceDE w:val="0"/>
              <w:autoSpaceDN w:val="0"/>
              <w:adjustRightInd w:val="0"/>
              <w:rPr>
                <w:rFonts w:cs="Arial"/>
                <w:sz w:val="20"/>
                <w:szCs w:val="20"/>
                <w:lang w:eastAsia="en-GB"/>
              </w:rPr>
            </w:pPr>
            <w:r w:rsidRPr="009624AD">
              <w:rPr>
                <w:rFonts w:cs="Arial"/>
                <w:sz w:val="20"/>
                <w:szCs w:val="20"/>
                <w:lang w:eastAsia="en-GB"/>
              </w:rPr>
              <w:t xml:space="preserve">Available forecasts on current trends will also be outlined. </w:t>
            </w:r>
          </w:p>
          <w:p w:rsidR="004C5C5D" w:rsidRPr="009624AD" w:rsidRDefault="004C5C5D" w:rsidP="003A3FEE">
            <w:pPr>
              <w:autoSpaceDE w:val="0"/>
              <w:autoSpaceDN w:val="0"/>
              <w:adjustRightInd w:val="0"/>
              <w:ind w:left="360"/>
              <w:rPr>
                <w:rFonts w:cs="Arial"/>
                <w:sz w:val="20"/>
                <w:szCs w:val="20"/>
                <w:lang w:eastAsia="en-GB"/>
              </w:rPr>
            </w:pPr>
          </w:p>
        </w:tc>
      </w:tr>
      <w:tr w:rsidR="004C5C5D" w:rsidRPr="009624AD" w:rsidTr="00F55D23">
        <w:tc>
          <w:tcPr>
            <w:tcW w:w="2405" w:type="dxa"/>
            <w:shd w:val="clear" w:color="auto" w:fill="auto"/>
          </w:tcPr>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Chapter 4. Direct and indirect drivers of change in the context of different perspectives on</w:t>
            </w:r>
          </w:p>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quality of life</w:t>
            </w:r>
          </w:p>
          <w:p w:rsidR="004C5C5D" w:rsidRPr="00FD1A82" w:rsidRDefault="004C5C5D" w:rsidP="003A3FEE">
            <w:pPr>
              <w:autoSpaceDE w:val="0"/>
              <w:autoSpaceDN w:val="0"/>
              <w:adjustRightInd w:val="0"/>
              <w:rPr>
                <w:rFonts w:cs="Arial"/>
                <w:bCs/>
                <w:sz w:val="20"/>
                <w:szCs w:val="20"/>
                <w:lang w:eastAsia="en-GB"/>
              </w:rPr>
            </w:pPr>
          </w:p>
        </w:tc>
        <w:tc>
          <w:tcPr>
            <w:tcW w:w="6946" w:type="dxa"/>
            <w:shd w:val="clear" w:color="auto" w:fill="auto"/>
          </w:tcPr>
          <w:p w:rsidR="004C5C5D" w:rsidRPr="009624AD" w:rsidRDefault="004C5C5D" w:rsidP="004C5C5D">
            <w:pPr>
              <w:numPr>
                <w:ilvl w:val="0"/>
                <w:numId w:val="11"/>
              </w:numPr>
              <w:autoSpaceDE w:val="0"/>
              <w:autoSpaceDN w:val="0"/>
              <w:adjustRightInd w:val="0"/>
              <w:rPr>
                <w:rFonts w:cs="Arial"/>
                <w:sz w:val="20"/>
                <w:szCs w:val="20"/>
                <w:lang w:eastAsia="en-GB"/>
              </w:rPr>
            </w:pPr>
            <w:r w:rsidRPr="009624AD">
              <w:rPr>
                <w:rFonts w:cs="Arial"/>
                <w:sz w:val="20"/>
                <w:szCs w:val="20"/>
                <w:lang w:eastAsia="en-GB"/>
              </w:rPr>
              <w:t xml:space="preserve">Assess the status and trends and future dynamics of indirect drivers, focusing </w:t>
            </w:r>
            <w:proofErr w:type="gramStart"/>
            <w:r w:rsidRPr="009624AD">
              <w:rPr>
                <w:rFonts w:cs="Arial"/>
                <w:sz w:val="20"/>
                <w:szCs w:val="20"/>
                <w:lang w:eastAsia="en-GB"/>
              </w:rPr>
              <w:t>in particular on</w:t>
            </w:r>
            <w:proofErr w:type="gramEnd"/>
            <w:r w:rsidRPr="009624AD">
              <w:rPr>
                <w:rFonts w:cs="Arial"/>
                <w:sz w:val="20"/>
                <w:szCs w:val="20"/>
                <w:lang w:eastAsia="en-GB"/>
              </w:rPr>
              <w:t xml:space="preserve"> those affecting “Nature” and “Nature’s benefits to people” as the foundation for “Good quality of life”. </w:t>
            </w:r>
          </w:p>
          <w:p w:rsidR="004C5C5D" w:rsidRDefault="004C5C5D" w:rsidP="004C5C5D">
            <w:pPr>
              <w:numPr>
                <w:ilvl w:val="0"/>
                <w:numId w:val="11"/>
              </w:numPr>
              <w:autoSpaceDE w:val="0"/>
              <w:autoSpaceDN w:val="0"/>
              <w:adjustRightInd w:val="0"/>
              <w:rPr>
                <w:rFonts w:cs="Arial"/>
                <w:sz w:val="20"/>
                <w:szCs w:val="20"/>
                <w:lang w:eastAsia="en-GB"/>
              </w:rPr>
            </w:pPr>
            <w:r w:rsidRPr="009624AD">
              <w:rPr>
                <w:rFonts w:cs="Arial"/>
                <w:sz w:val="20"/>
                <w:szCs w:val="20"/>
                <w:lang w:eastAsia="en-GB"/>
              </w:rPr>
              <w:t xml:space="preserve">It will assess the status and trends in direct drivers, as well as the impact of these drivers on “Nature”, based on future predictions, and analyse the interrelations between and among direct drivers and indirect drivers. </w:t>
            </w:r>
          </w:p>
          <w:p w:rsidR="004C5C5D" w:rsidRPr="009624AD" w:rsidRDefault="004C5C5D" w:rsidP="004C5C5D">
            <w:pPr>
              <w:numPr>
                <w:ilvl w:val="0"/>
                <w:numId w:val="11"/>
              </w:numPr>
              <w:autoSpaceDE w:val="0"/>
              <w:autoSpaceDN w:val="0"/>
              <w:adjustRightInd w:val="0"/>
              <w:rPr>
                <w:rFonts w:cs="Arial"/>
                <w:sz w:val="20"/>
                <w:szCs w:val="20"/>
                <w:lang w:eastAsia="en-GB"/>
              </w:rPr>
            </w:pPr>
            <w:proofErr w:type="spellStart"/>
            <w:r>
              <w:rPr>
                <w:rFonts w:cs="Arial"/>
                <w:sz w:val="20"/>
                <w:szCs w:val="20"/>
                <w:lang w:eastAsia="en-GB"/>
              </w:rPr>
              <w:t>ECA</w:t>
            </w:r>
            <w:proofErr w:type="spellEnd"/>
            <w:r>
              <w:rPr>
                <w:rFonts w:cs="Arial"/>
                <w:sz w:val="20"/>
                <w:szCs w:val="20"/>
                <w:lang w:eastAsia="en-GB"/>
              </w:rPr>
              <w:t xml:space="preserve"> specific: </w:t>
            </w:r>
            <w:r>
              <w:rPr>
                <w:sz w:val="20"/>
                <w:szCs w:val="20"/>
              </w:rPr>
              <w:t xml:space="preserve">emphasis will be placed on the regional and subregional aspects of land degradation and restoration as well as on invasive alien species and sustainable intensification of agriculture. Fire and floods </w:t>
            </w:r>
            <w:r>
              <w:rPr>
                <w:sz w:val="20"/>
                <w:szCs w:val="20"/>
              </w:rPr>
              <w:lastRenderedPageBreak/>
              <w:t>will be included as drivers owing to their growing importance in the region.</w:t>
            </w:r>
          </w:p>
          <w:p w:rsidR="004C5C5D" w:rsidRPr="009624AD" w:rsidRDefault="004C5C5D" w:rsidP="003A3FEE">
            <w:pPr>
              <w:autoSpaceDE w:val="0"/>
              <w:autoSpaceDN w:val="0"/>
              <w:adjustRightInd w:val="0"/>
              <w:rPr>
                <w:rFonts w:cs="Arial"/>
                <w:sz w:val="20"/>
                <w:szCs w:val="20"/>
                <w:lang w:eastAsia="en-GB"/>
              </w:rPr>
            </w:pPr>
          </w:p>
        </w:tc>
      </w:tr>
      <w:tr w:rsidR="004C5C5D" w:rsidRPr="009624AD" w:rsidTr="00F55D23">
        <w:tc>
          <w:tcPr>
            <w:tcW w:w="2405" w:type="dxa"/>
            <w:shd w:val="clear" w:color="auto" w:fill="auto"/>
          </w:tcPr>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lastRenderedPageBreak/>
              <w:t>Chapter 5. Integrated and cross-scale analysis of interactions of the natural world and</w:t>
            </w:r>
            <w:r>
              <w:rPr>
                <w:rFonts w:cs="Arial"/>
                <w:bCs/>
                <w:sz w:val="20"/>
                <w:szCs w:val="20"/>
                <w:lang w:eastAsia="en-GB"/>
              </w:rPr>
              <w:t xml:space="preserve"> </w:t>
            </w:r>
            <w:r w:rsidRPr="00FD1A82">
              <w:rPr>
                <w:rFonts w:cs="Arial"/>
                <w:bCs/>
                <w:sz w:val="20"/>
                <w:szCs w:val="20"/>
                <w:lang w:eastAsia="en-GB"/>
              </w:rPr>
              <w:t>human society</w:t>
            </w:r>
          </w:p>
          <w:p w:rsidR="004C5C5D" w:rsidRPr="00FD1A82" w:rsidRDefault="004C5C5D" w:rsidP="003A3FEE">
            <w:pPr>
              <w:autoSpaceDE w:val="0"/>
              <w:autoSpaceDN w:val="0"/>
              <w:adjustRightInd w:val="0"/>
              <w:rPr>
                <w:rFonts w:cs="Arial"/>
                <w:bCs/>
                <w:sz w:val="20"/>
                <w:szCs w:val="20"/>
                <w:lang w:eastAsia="en-GB"/>
              </w:rPr>
            </w:pPr>
          </w:p>
        </w:tc>
        <w:tc>
          <w:tcPr>
            <w:tcW w:w="6946" w:type="dxa"/>
            <w:shd w:val="clear" w:color="auto" w:fill="auto"/>
          </w:tcPr>
          <w:p w:rsidR="004C5C5D" w:rsidRPr="009624AD" w:rsidRDefault="004C5C5D" w:rsidP="004C5C5D">
            <w:pPr>
              <w:numPr>
                <w:ilvl w:val="0"/>
                <w:numId w:val="12"/>
              </w:numPr>
              <w:autoSpaceDE w:val="0"/>
              <w:autoSpaceDN w:val="0"/>
              <w:adjustRightInd w:val="0"/>
              <w:rPr>
                <w:rFonts w:cs="Arial"/>
                <w:sz w:val="20"/>
                <w:szCs w:val="20"/>
                <w:lang w:eastAsia="en-GB"/>
              </w:rPr>
            </w:pPr>
            <w:r w:rsidRPr="009624AD">
              <w:rPr>
                <w:rFonts w:cs="Arial"/>
                <w:sz w:val="20"/>
                <w:szCs w:val="20"/>
                <w:lang w:eastAsia="en-GB"/>
              </w:rPr>
              <w:t xml:space="preserve">Will build on the analysis in the previous chapter and make extensive use of scenarios and modelling in its analysis. </w:t>
            </w:r>
          </w:p>
          <w:p w:rsidR="004C5C5D" w:rsidRDefault="004C5C5D" w:rsidP="004C5C5D">
            <w:pPr>
              <w:numPr>
                <w:ilvl w:val="0"/>
                <w:numId w:val="12"/>
              </w:numPr>
              <w:autoSpaceDE w:val="0"/>
              <w:autoSpaceDN w:val="0"/>
              <w:adjustRightInd w:val="0"/>
              <w:rPr>
                <w:rFonts w:cs="Arial"/>
                <w:sz w:val="20"/>
                <w:szCs w:val="20"/>
                <w:lang w:eastAsia="en-GB"/>
              </w:rPr>
            </w:pPr>
            <w:r w:rsidRPr="009624AD">
              <w:rPr>
                <w:rFonts w:cs="Arial"/>
                <w:sz w:val="20"/>
                <w:szCs w:val="20"/>
                <w:lang w:eastAsia="en-GB"/>
              </w:rPr>
              <w:t xml:space="preserve">Will focus on the key issues that society is expected to face over the next 40 years that will determine the dynamics of the interactions between society and nature. It will include integrated and cross-scale analysis of these dynamics, including feedback, synergies, time lags, tipping points, resilience, </w:t>
            </w:r>
            <w:proofErr w:type="spellStart"/>
            <w:r w:rsidRPr="009624AD">
              <w:rPr>
                <w:rFonts w:cs="Arial"/>
                <w:sz w:val="20"/>
                <w:szCs w:val="20"/>
                <w:lang w:eastAsia="en-GB"/>
              </w:rPr>
              <w:t>crossregional</w:t>
            </w:r>
            <w:proofErr w:type="spellEnd"/>
            <w:r w:rsidRPr="009624AD">
              <w:rPr>
                <w:rFonts w:cs="Arial"/>
                <w:sz w:val="20"/>
                <w:szCs w:val="20"/>
                <w:lang w:eastAsia="en-GB"/>
              </w:rPr>
              <w:t xml:space="preserve"> interrelations and trade-offs. </w:t>
            </w:r>
          </w:p>
          <w:p w:rsidR="004C5C5D" w:rsidRPr="00F749CA" w:rsidRDefault="004C5C5D" w:rsidP="004C5C5D">
            <w:pPr>
              <w:numPr>
                <w:ilvl w:val="0"/>
                <w:numId w:val="12"/>
              </w:numPr>
              <w:autoSpaceDE w:val="0"/>
              <w:autoSpaceDN w:val="0"/>
              <w:adjustRightInd w:val="0"/>
              <w:rPr>
                <w:rFonts w:cs="Arial"/>
                <w:sz w:val="20"/>
                <w:szCs w:val="20"/>
                <w:lang w:eastAsia="en-GB"/>
              </w:rPr>
            </w:pPr>
            <w:proofErr w:type="spellStart"/>
            <w:r w:rsidRPr="00F749CA">
              <w:rPr>
                <w:rFonts w:cs="Arial"/>
                <w:sz w:val="20"/>
                <w:szCs w:val="20"/>
                <w:lang w:eastAsia="en-GB"/>
              </w:rPr>
              <w:t>ECA</w:t>
            </w:r>
            <w:proofErr w:type="spellEnd"/>
            <w:r w:rsidRPr="00F749CA">
              <w:rPr>
                <w:rFonts w:cs="Arial"/>
                <w:sz w:val="20"/>
                <w:szCs w:val="20"/>
                <w:lang w:eastAsia="en-GB"/>
              </w:rPr>
              <w:t xml:space="preserve"> specific: will </w:t>
            </w:r>
            <w:proofErr w:type="gramStart"/>
            <w:r w:rsidRPr="00F749CA">
              <w:rPr>
                <w:rFonts w:cs="Arial"/>
                <w:sz w:val="20"/>
                <w:szCs w:val="20"/>
                <w:lang w:eastAsia="en-GB"/>
              </w:rPr>
              <w:t>in particular consider</w:t>
            </w:r>
            <w:proofErr w:type="gramEnd"/>
            <w:r w:rsidRPr="00F749CA">
              <w:rPr>
                <w:rFonts w:cs="Arial"/>
                <w:sz w:val="20"/>
                <w:szCs w:val="20"/>
                <w:lang w:eastAsia="en-GB"/>
              </w:rPr>
              <w:t xml:space="preserve"> issues that include increasing demand for biological raw materials in a bio-economy context (bioenergy, fibres and organic matter), climate change, food provisioning from land and water, and water availability. It will assess how the value of biodiversity and associated ecosystem services influences indirect drivers and how the integration of such values into national and local development planning and accounting may help address Aichi Biodiversity Target 2.</w:t>
            </w:r>
          </w:p>
          <w:p w:rsidR="004C5C5D" w:rsidRPr="009624AD" w:rsidRDefault="004C5C5D" w:rsidP="003A3FEE">
            <w:pPr>
              <w:autoSpaceDE w:val="0"/>
              <w:autoSpaceDN w:val="0"/>
              <w:adjustRightInd w:val="0"/>
              <w:ind w:left="360"/>
              <w:rPr>
                <w:rFonts w:cs="Arial"/>
                <w:sz w:val="20"/>
                <w:szCs w:val="20"/>
                <w:lang w:eastAsia="en-GB"/>
              </w:rPr>
            </w:pPr>
          </w:p>
        </w:tc>
      </w:tr>
      <w:tr w:rsidR="004C5C5D" w:rsidRPr="009624AD" w:rsidTr="00F55D23">
        <w:tc>
          <w:tcPr>
            <w:tcW w:w="2405" w:type="dxa"/>
            <w:shd w:val="clear" w:color="auto" w:fill="auto"/>
          </w:tcPr>
          <w:p w:rsidR="004C5C5D" w:rsidRPr="00FD1A82" w:rsidRDefault="004C5C5D" w:rsidP="003A3FEE">
            <w:pPr>
              <w:autoSpaceDE w:val="0"/>
              <w:autoSpaceDN w:val="0"/>
              <w:adjustRightInd w:val="0"/>
              <w:rPr>
                <w:rFonts w:cs="Arial"/>
                <w:bCs/>
                <w:sz w:val="20"/>
                <w:szCs w:val="20"/>
                <w:lang w:eastAsia="en-GB"/>
              </w:rPr>
            </w:pPr>
            <w:r w:rsidRPr="00FD1A82">
              <w:rPr>
                <w:rFonts w:cs="Arial"/>
                <w:bCs/>
                <w:sz w:val="20"/>
                <w:szCs w:val="20"/>
                <w:lang w:eastAsia="en-GB"/>
              </w:rPr>
              <w:t>Chapter 6. Options for governance, institutional arrangements and private and public</w:t>
            </w:r>
            <w:r>
              <w:rPr>
                <w:rFonts w:cs="Arial"/>
                <w:bCs/>
                <w:sz w:val="20"/>
                <w:szCs w:val="20"/>
                <w:lang w:eastAsia="en-GB"/>
              </w:rPr>
              <w:t xml:space="preserve"> </w:t>
            </w:r>
            <w:r w:rsidRPr="00FD1A82">
              <w:rPr>
                <w:rFonts w:cs="Arial"/>
                <w:bCs/>
                <w:sz w:val="20"/>
                <w:szCs w:val="20"/>
                <w:lang w:eastAsia="en-GB"/>
              </w:rPr>
              <w:t>decision-making across scales and sectors</w:t>
            </w:r>
          </w:p>
          <w:p w:rsidR="004C5C5D" w:rsidRPr="00FD1A82" w:rsidRDefault="004C5C5D" w:rsidP="003A3FEE">
            <w:pPr>
              <w:autoSpaceDE w:val="0"/>
              <w:autoSpaceDN w:val="0"/>
              <w:adjustRightInd w:val="0"/>
              <w:rPr>
                <w:rFonts w:cs="Arial"/>
                <w:bCs/>
                <w:sz w:val="20"/>
                <w:szCs w:val="20"/>
                <w:lang w:eastAsia="en-GB"/>
              </w:rPr>
            </w:pPr>
          </w:p>
        </w:tc>
        <w:tc>
          <w:tcPr>
            <w:tcW w:w="6946" w:type="dxa"/>
            <w:shd w:val="clear" w:color="auto" w:fill="auto"/>
          </w:tcPr>
          <w:p w:rsidR="004C5C5D" w:rsidRPr="009624AD" w:rsidRDefault="004C5C5D" w:rsidP="004C5C5D">
            <w:pPr>
              <w:numPr>
                <w:ilvl w:val="0"/>
                <w:numId w:val="13"/>
              </w:numPr>
              <w:autoSpaceDE w:val="0"/>
              <w:autoSpaceDN w:val="0"/>
              <w:adjustRightInd w:val="0"/>
              <w:rPr>
                <w:rFonts w:cs="Arial"/>
                <w:sz w:val="20"/>
                <w:szCs w:val="20"/>
                <w:lang w:eastAsia="en-GB"/>
              </w:rPr>
            </w:pPr>
            <w:r w:rsidRPr="009624AD">
              <w:rPr>
                <w:rFonts w:cs="Arial"/>
                <w:sz w:val="20"/>
                <w:szCs w:val="20"/>
                <w:lang w:eastAsia="en-GB"/>
              </w:rPr>
              <w:t>Will examine different policy ideas and possible options for decision makers at the regional and subregional levels.</w:t>
            </w:r>
          </w:p>
          <w:p w:rsidR="004C5C5D" w:rsidRDefault="004C5C5D" w:rsidP="004C5C5D">
            <w:pPr>
              <w:numPr>
                <w:ilvl w:val="0"/>
                <w:numId w:val="13"/>
              </w:numPr>
              <w:autoSpaceDE w:val="0"/>
              <w:autoSpaceDN w:val="0"/>
              <w:adjustRightInd w:val="0"/>
              <w:rPr>
                <w:rFonts w:cs="Arial"/>
                <w:sz w:val="20"/>
                <w:szCs w:val="20"/>
                <w:lang w:eastAsia="en-GB"/>
              </w:rPr>
            </w:pPr>
            <w:r w:rsidRPr="009624AD">
              <w:rPr>
                <w:rFonts w:cs="Arial"/>
                <w:sz w:val="20"/>
                <w:szCs w:val="20"/>
                <w:lang w:eastAsia="en-GB"/>
              </w:rPr>
              <w:t>Analyse future challenges for sustainable use and conservation in key sectors in each region and assess options for integrating biodiversity, ecosystem function and ecosystem services into poverty reduction strategies and national accounting.</w:t>
            </w:r>
          </w:p>
          <w:p w:rsidR="004C5C5D" w:rsidRPr="00D336AB" w:rsidRDefault="004C5C5D" w:rsidP="004C5C5D">
            <w:pPr>
              <w:numPr>
                <w:ilvl w:val="0"/>
                <w:numId w:val="13"/>
              </w:numPr>
              <w:autoSpaceDE w:val="0"/>
              <w:autoSpaceDN w:val="0"/>
              <w:adjustRightInd w:val="0"/>
              <w:rPr>
                <w:rFonts w:cs="Arial"/>
                <w:sz w:val="20"/>
                <w:szCs w:val="20"/>
                <w:lang w:eastAsia="en-GB"/>
              </w:rPr>
            </w:pPr>
            <w:proofErr w:type="spellStart"/>
            <w:r>
              <w:rPr>
                <w:rFonts w:cs="Arial"/>
                <w:sz w:val="20"/>
                <w:szCs w:val="20"/>
                <w:lang w:eastAsia="en-GB"/>
              </w:rPr>
              <w:t>ECA</w:t>
            </w:r>
            <w:proofErr w:type="spellEnd"/>
            <w:r>
              <w:rPr>
                <w:rFonts w:cs="Arial"/>
                <w:sz w:val="20"/>
                <w:szCs w:val="20"/>
                <w:lang w:eastAsia="en-GB"/>
              </w:rPr>
              <w:t xml:space="preserve"> specific: W</w:t>
            </w:r>
            <w:r w:rsidRPr="00F749CA">
              <w:rPr>
                <w:rFonts w:cs="Arial"/>
                <w:sz w:val="20"/>
                <w:szCs w:val="20"/>
                <w:lang w:eastAsia="en-GB"/>
              </w:rPr>
              <w:t xml:space="preserve">ill </w:t>
            </w:r>
            <w:proofErr w:type="gramStart"/>
            <w:r w:rsidRPr="00F749CA">
              <w:rPr>
                <w:rFonts w:cs="Arial"/>
                <w:sz w:val="20"/>
                <w:szCs w:val="20"/>
                <w:lang w:eastAsia="en-GB"/>
              </w:rPr>
              <w:t>in particular consider</w:t>
            </w:r>
            <w:proofErr w:type="gramEnd"/>
            <w:r w:rsidRPr="00F749CA">
              <w:rPr>
                <w:rFonts w:cs="Arial"/>
                <w:sz w:val="20"/>
                <w:szCs w:val="20"/>
                <w:lang w:eastAsia="en-GB"/>
              </w:rPr>
              <w:t xml:space="preserve"> future challenges for sustainable use and conservation in key sectors such as nature protection, agriculture, forestry, fisheries, water management, spatial planning, energy (including bioenergy), tourism, infrastructure and incentives (including subsidies harmful to biodiversity as well as positive incentives for the conservation and sustainable use of biodiversity).</w:t>
            </w:r>
          </w:p>
        </w:tc>
      </w:tr>
    </w:tbl>
    <w:p w:rsidR="004C5C5D" w:rsidRPr="00D336AB" w:rsidRDefault="004C5C5D" w:rsidP="004C5C5D"/>
    <w:p w:rsidR="004C5C5D" w:rsidRDefault="004C5C5D" w:rsidP="001968AD">
      <w:pPr>
        <w:rPr>
          <w:rFonts w:cs="Arial"/>
          <w:sz w:val="20"/>
          <w:szCs w:val="20"/>
        </w:rPr>
      </w:pPr>
    </w:p>
    <w:sectPr w:rsidR="004C5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4BB"/>
    <w:multiLevelType w:val="hybridMultilevel"/>
    <w:tmpl w:val="684ED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3D5D9B"/>
    <w:multiLevelType w:val="hybridMultilevel"/>
    <w:tmpl w:val="8626E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4D22EB0"/>
    <w:multiLevelType w:val="hybridMultilevel"/>
    <w:tmpl w:val="9BDE3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C73DB"/>
    <w:multiLevelType w:val="hybridMultilevel"/>
    <w:tmpl w:val="D756B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E1CF6"/>
    <w:multiLevelType w:val="hybridMultilevel"/>
    <w:tmpl w:val="E89E7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1AC6A74"/>
    <w:multiLevelType w:val="hybridMultilevel"/>
    <w:tmpl w:val="4A3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C73CDE"/>
    <w:multiLevelType w:val="hybridMultilevel"/>
    <w:tmpl w:val="976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F0A9E"/>
    <w:multiLevelType w:val="hybridMultilevel"/>
    <w:tmpl w:val="E182F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BE7068"/>
    <w:multiLevelType w:val="hybridMultilevel"/>
    <w:tmpl w:val="2580EE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B591F6A"/>
    <w:multiLevelType w:val="hybridMultilevel"/>
    <w:tmpl w:val="C7466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24A037B"/>
    <w:multiLevelType w:val="hybridMultilevel"/>
    <w:tmpl w:val="6062E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40559A5"/>
    <w:multiLevelType w:val="hybridMultilevel"/>
    <w:tmpl w:val="8B2EF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1E6E81"/>
    <w:multiLevelType w:val="hybridMultilevel"/>
    <w:tmpl w:val="580C2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num>
  <w:num w:numId="8">
    <w:abstractNumId w:val="5"/>
  </w:num>
  <w:num w:numId="9">
    <w:abstractNumId w:val="2"/>
  </w:num>
  <w:num w:numId="10">
    <w:abstractNumId w:val="12"/>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F3"/>
    <w:rsid w:val="000909F3"/>
    <w:rsid w:val="000D03C2"/>
    <w:rsid w:val="001968AD"/>
    <w:rsid w:val="004C5C5D"/>
    <w:rsid w:val="0061174A"/>
    <w:rsid w:val="00E5775A"/>
    <w:rsid w:val="00F5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DE7D"/>
  <w15:chartTrackingRefBased/>
  <w15:docId w15:val="{E3248ADA-05F5-4BF3-A2A4-D1C3F86C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68AD"/>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4C5C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C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5C5D"/>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4C5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bes.net/work-programme/regional-and-subregional-assess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bes.net/sites/default/files/downloads/pdf/IPBES_3_18_Annex%20III_Deliverable_2b_Generic_Report.pdf" TargetMode="External"/><Relationship Id="rId5" Type="http://schemas.openxmlformats.org/officeDocument/2006/relationships/hyperlink" Target="mailto:IPBES@jnc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Grant</dc:creator>
  <cp:keywords/>
  <dc:description/>
  <cp:lastModifiedBy>Hilary Grant</cp:lastModifiedBy>
  <cp:revision>3</cp:revision>
  <dcterms:created xsi:type="dcterms:W3CDTF">2017-04-24T12:15:00Z</dcterms:created>
  <dcterms:modified xsi:type="dcterms:W3CDTF">2017-04-24T12:16:00Z</dcterms:modified>
</cp:coreProperties>
</file>